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F" w:rsidRDefault="007F305F" w:rsidP="00C14261">
      <w:pPr>
        <w:pStyle w:val="Heading1"/>
        <w:spacing w:before="0"/>
      </w:pPr>
      <w:r>
        <w:rPr>
          <w:noProof/>
        </w:rPr>
        <w:t xml:space="preserve">                                                                                       </w:t>
      </w:r>
    </w:p>
    <w:p w:rsidR="007F305F" w:rsidRDefault="007F305F" w:rsidP="00C14261">
      <w:pPr>
        <w:pStyle w:val="Heading1"/>
        <w:spacing w:before="0"/>
      </w:pPr>
      <w:r w:rsidRPr="007F305F">
        <w:rPr>
          <w:noProof/>
        </w:rPr>
        <w:drawing>
          <wp:inline distT="0" distB="0" distL="0" distR="0">
            <wp:extent cx="2524125" cy="762000"/>
            <wp:effectExtent l="0" t="0" r="9525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5F" w:rsidRDefault="007F305F" w:rsidP="00C14261">
      <w:pPr>
        <w:pStyle w:val="Heading1"/>
        <w:spacing w:before="0"/>
      </w:pPr>
    </w:p>
    <w:p w:rsidR="007F305F" w:rsidRDefault="007F305F" w:rsidP="00C14261">
      <w:pPr>
        <w:pStyle w:val="Heading1"/>
        <w:spacing w:before="0"/>
      </w:pPr>
    </w:p>
    <w:p w:rsidR="00D41149" w:rsidRPr="0088601D" w:rsidRDefault="00507B41" w:rsidP="00C14261">
      <w:pPr>
        <w:pStyle w:val="Heading1"/>
        <w:spacing w:before="0"/>
        <w:rPr>
          <w:rFonts w:ascii="Verdana" w:hAnsi="Verdana"/>
          <w:color w:val="1F497D" w:themeColor="text2"/>
          <w:sz w:val="24"/>
          <w:szCs w:val="24"/>
        </w:rPr>
      </w:pPr>
      <w:r w:rsidRPr="0088601D">
        <w:rPr>
          <w:rFonts w:ascii="Verdana" w:hAnsi="Verdana"/>
          <w:color w:val="1F497D" w:themeColor="text2"/>
          <w:sz w:val="24"/>
          <w:szCs w:val="24"/>
        </w:rPr>
        <w:t xml:space="preserve">Farnborough College of Technology </w:t>
      </w:r>
      <w:r w:rsidR="00D41149" w:rsidRPr="0088601D">
        <w:rPr>
          <w:rFonts w:ascii="Verdana" w:hAnsi="Verdana"/>
          <w:color w:val="1F497D" w:themeColor="text2"/>
          <w:sz w:val="24"/>
          <w:szCs w:val="24"/>
        </w:rPr>
        <w:t>(UKPRN</w:t>
      </w:r>
      <w:r w:rsidR="007D6A82" w:rsidRPr="0088601D">
        <w:rPr>
          <w:rFonts w:ascii="Verdana" w:hAnsi="Verdana"/>
          <w:color w:val="1F497D"/>
          <w:sz w:val="24"/>
          <w:szCs w:val="24"/>
        </w:rPr>
        <w:t xml:space="preserve"> 10002412</w:t>
      </w:r>
      <w:r w:rsidR="007D6A82" w:rsidRPr="0088601D">
        <w:rPr>
          <w:rFonts w:ascii="Verdana" w:hAnsi="Verdana"/>
          <w:color w:val="1F497D" w:themeColor="text2"/>
          <w:sz w:val="24"/>
          <w:szCs w:val="24"/>
        </w:rPr>
        <w:t>)</w:t>
      </w:r>
    </w:p>
    <w:p w:rsidR="00D41149" w:rsidRPr="0088601D" w:rsidRDefault="00D41149" w:rsidP="00C14261">
      <w:pPr>
        <w:pStyle w:val="Heading1"/>
        <w:spacing w:before="0"/>
        <w:rPr>
          <w:rFonts w:ascii="Verdana" w:hAnsi="Verdana"/>
          <w:color w:val="1F497D" w:themeColor="text2"/>
          <w:sz w:val="24"/>
          <w:szCs w:val="24"/>
        </w:rPr>
      </w:pPr>
      <w:r w:rsidRPr="0088601D">
        <w:rPr>
          <w:rFonts w:ascii="Verdana" w:hAnsi="Verdana"/>
          <w:color w:val="1F497D" w:themeColor="text2"/>
          <w:sz w:val="24"/>
          <w:szCs w:val="24"/>
        </w:rPr>
        <w:t>Supply</w:t>
      </w:r>
      <w:r w:rsidR="007F305F" w:rsidRPr="0088601D">
        <w:rPr>
          <w:rFonts w:ascii="Verdana" w:hAnsi="Verdana"/>
          <w:color w:val="1F497D" w:themeColor="text2"/>
          <w:sz w:val="24"/>
          <w:szCs w:val="24"/>
        </w:rPr>
        <w:t>-</w:t>
      </w:r>
      <w:r w:rsidRPr="0088601D">
        <w:rPr>
          <w:rFonts w:ascii="Verdana" w:hAnsi="Verdana"/>
          <w:color w:val="1F497D" w:themeColor="text2"/>
          <w:sz w:val="24"/>
          <w:szCs w:val="24"/>
        </w:rPr>
        <w:t xml:space="preserve"> Chain Fees </w:t>
      </w:r>
      <w:r w:rsidR="007F305F" w:rsidRPr="0088601D">
        <w:rPr>
          <w:rFonts w:ascii="Verdana" w:hAnsi="Verdana"/>
          <w:color w:val="1F497D" w:themeColor="text2"/>
          <w:sz w:val="24"/>
          <w:szCs w:val="24"/>
        </w:rPr>
        <w:t xml:space="preserve">and Charges </w:t>
      </w:r>
      <w:r w:rsidRPr="0088601D">
        <w:rPr>
          <w:rFonts w:ascii="Verdana" w:hAnsi="Verdana"/>
          <w:color w:val="1F497D" w:themeColor="text2"/>
          <w:sz w:val="24"/>
          <w:szCs w:val="24"/>
        </w:rPr>
        <w:t>Policy</w:t>
      </w:r>
      <w:r w:rsidR="00507B41" w:rsidRPr="0088601D">
        <w:rPr>
          <w:rFonts w:ascii="Verdana" w:hAnsi="Verdana"/>
          <w:color w:val="1F497D" w:themeColor="text2"/>
          <w:sz w:val="24"/>
          <w:szCs w:val="24"/>
        </w:rPr>
        <w:t xml:space="preserve"> 201</w:t>
      </w:r>
      <w:r w:rsidR="00F0194E">
        <w:rPr>
          <w:rFonts w:ascii="Verdana" w:hAnsi="Verdana"/>
          <w:color w:val="1F497D" w:themeColor="text2"/>
          <w:sz w:val="24"/>
          <w:szCs w:val="24"/>
        </w:rPr>
        <w:t>6</w:t>
      </w:r>
      <w:r w:rsidR="0088601D">
        <w:rPr>
          <w:rFonts w:ascii="Verdana" w:hAnsi="Verdana"/>
          <w:color w:val="1F497D" w:themeColor="text2"/>
          <w:sz w:val="24"/>
          <w:szCs w:val="24"/>
        </w:rPr>
        <w:t>/</w:t>
      </w:r>
      <w:r w:rsidR="00507B41" w:rsidRPr="0088601D">
        <w:rPr>
          <w:rFonts w:ascii="Verdana" w:hAnsi="Verdana"/>
          <w:color w:val="1F497D" w:themeColor="text2"/>
          <w:sz w:val="24"/>
          <w:szCs w:val="24"/>
        </w:rPr>
        <w:t>1</w:t>
      </w:r>
      <w:r w:rsidR="00F0194E">
        <w:rPr>
          <w:rFonts w:ascii="Verdana" w:hAnsi="Verdana"/>
          <w:color w:val="1F497D" w:themeColor="text2"/>
          <w:sz w:val="24"/>
          <w:szCs w:val="24"/>
        </w:rPr>
        <w:t>7</w:t>
      </w:r>
    </w:p>
    <w:p w:rsidR="00D41149" w:rsidRPr="00D41149" w:rsidRDefault="00D41149" w:rsidP="00D411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601D" w:rsidRPr="00185EEA" w:rsidRDefault="00D41149" w:rsidP="0088601D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This document outlines </w:t>
      </w:r>
      <w:r w:rsidR="00507B41" w:rsidRPr="0088601D">
        <w:rPr>
          <w:rFonts w:ascii="Verdana" w:hAnsi="Verdana" w:cs="Arial"/>
        </w:rPr>
        <w:t>Farnborough College of Technology</w:t>
      </w:r>
      <w:r w:rsidR="009E6778" w:rsidRPr="0088601D">
        <w:rPr>
          <w:rFonts w:ascii="Verdana" w:hAnsi="Verdana" w:cs="Arial"/>
        </w:rPr>
        <w:t>’s</w:t>
      </w:r>
      <w:r w:rsidRPr="0088601D">
        <w:rPr>
          <w:rFonts w:ascii="Verdana" w:hAnsi="Verdana" w:cs="Arial"/>
        </w:rPr>
        <w:t xml:space="preserve"> Supply </w:t>
      </w:r>
      <w:r w:rsidR="009E6778" w:rsidRPr="0088601D">
        <w:rPr>
          <w:rFonts w:ascii="Verdana" w:hAnsi="Verdana" w:cs="Arial"/>
        </w:rPr>
        <w:t xml:space="preserve">–Chain Fees </w:t>
      </w:r>
      <w:r w:rsidR="00507B41" w:rsidRPr="0088601D">
        <w:rPr>
          <w:rFonts w:ascii="Verdana" w:hAnsi="Verdana" w:cs="Arial"/>
        </w:rPr>
        <w:t xml:space="preserve">and </w:t>
      </w:r>
      <w:r w:rsidR="009E6778" w:rsidRPr="0088601D">
        <w:rPr>
          <w:rFonts w:ascii="Verdana" w:hAnsi="Verdana" w:cs="Arial"/>
        </w:rPr>
        <w:t xml:space="preserve">Charges </w:t>
      </w:r>
      <w:r w:rsidR="00507B41" w:rsidRPr="0088601D">
        <w:rPr>
          <w:rFonts w:ascii="Verdana" w:hAnsi="Verdana" w:cs="Arial"/>
        </w:rPr>
        <w:t>Policy for the 201</w:t>
      </w:r>
      <w:r w:rsidR="00F0194E">
        <w:rPr>
          <w:rFonts w:ascii="Verdana" w:hAnsi="Verdana" w:cs="Arial"/>
        </w:rPr>
        <w:t>6</w:t>
      </w:r>
      <w:r w:rsidR="00507B41" w:rsidRPr="0088601D">
        <w:rPr>
          <w:rFonts w:ascii="Verdana" w:hAnsi="Verdana" w:cs="Arial"/>
        </w:rPr>
        <w:t>/1</w:t>
      </w:r>
      <w:r w:rsidR="00F0194E">
        <w:rPr>
          <w:rFonts w:ascii="Verdana" w:hAnsi="Verdana" w:cs="Arial"/>
        </w:rPr>
        <w:t>7</w:t>
      </w:r>
      <w:r w:rsidRPr="0088601D">
        <w:rPr>
          <w:rFonts w:ascii="Verdana" w:hAnsi="Verdana" w:cs="Arial"/>
        </w:rPr>
        <w:t xml:space="preserve"> academic year in line with the Skills Funding Agency </w:t>
      </w:r>
      <w:r w:rsidR="009E6778" w:rsidRPr="0088601D">
        <w:rPr>
          <w:rFonts w:ascii="Verdana" w:hAnsi="Verdana" w:cs="Arial"/>
        </w:rPr>
        <w:t>mandatory requirements</w:t>
      </w:r>
      <w:r w:rsidR="0088601D">
        <w:rPr>
          <w:rFonts w:ascii="Verdana" w:hAnsi="Verdana" w:cs="Arial"/>
        </w:rPr>
        <w:t xml:space="preserve"> </w:t>
      </w:r>
      <w:r w:rsidR="0088601D" w:rsidRPr="00B86884">
        <w:rPr>
          <w:rFonts w:ascii="Verdana" w:hAnsi="Verdana" w:cs="Arial"/>
        </w:rPr>
        <w:t>and incorporating best practice guidance documentation from the AoC/AELP Common Accord and LSIS Supply Chain Management.</w:t>
      </w:r>
      <w:r w:rsidR="0088601D">
        <w:rPr>
          <w:rFonts w:ascii="Verdana" w:hAnsi="Verdana" w:cs="Arial"/>
        </w:rPr>
        <w:t xml:space="preserve"> </w:t>
      </w:r>
    </w:p>
    <w:p w:rsidR="009E6778" w:rsidRPr="0088601D" w:rsidRDefault="00D41149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This policy statement outlines fees and charges arrangements with organisations subcontracted to deliver training on behalf of </w:t>
      </w:r>
      <w:r w:rsidR="00507B41" w:rsidRPr="0088601D">
        <w:rPr>
          <w:rFonts w:ascii="Verdana" w:hAnsi="Verdana" w:cs="Arial"/>
        </w:rPr>
        <w:t>Farnborough College of Technology.</w:t>
      </w:r>
      <w:r w:rsidR="009E6778" w:rsidRPr="0088601D">
        <w:rPr>
          <w:rFonts w:ascii="Verdana" w:hAnsi="Verdana" w:cs="Arial"/>
        </w:rPr>
        <w:t xml:space="preserve"> Its purpose is to provide consistency of approach and transparency.</w:t>
      </w:r>
    </w:p>
    <w:p w:rsidR="00507B41" w:rsidRPr="0088601D" w:rsidRDefault="00D41149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8601D">
        <w:rPr>
          <w:rFonts w:ascii="Verdana" w:hAnsi="Verdana" w:cs="Arial"/>
          <w:color w:val="1F497D" w:themeColor="text2"/>
          <w:sz w:val="22"/>
          <w:szCs w:val="22"/>
        </w:rPr>
        <w:t>Disclaimer</w:t>
      </w:r>
    </w:p>
    <w:p w:rsidR="00D41149" w:rsidRPr="0088601D" w:rsidRDefault="00507B41" w:rsidP="0088601D">
      <w:pPr>
        <w:pStyle w:val="Heading2"/>
        <w:jc w:val="both"/>
        <w:rPr>
          <w:rFonts w:ascii="Verdana" w:hAnsi="Verdana" w:cs="Arial"/>
          <w:b w:val="0"/>
          <w:color w:val="auto"/>
          <w:sz w:val="22"/>
          <w:szCs w:val="22"/>
        </w:rPr>
      </w:pPr>
      <w:r w:rsidRPr="00A7290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8601D">
        <w:rPr>
          <w:rFonts w:ascii="Verdana" w:hAnsi="Verdana" w:cs="Arial"/>
          <w:b w:val="0"/>
          <w:color w:val="auto"/>
          <w:sz w:val="22"/>
          <w:szCs w:val="22"/>
        </w:rPr>
        <w:t>Farnborough College of Technology r</w:t>
      </w:r>
      <w:r w:rsidR="00D41149" w:rsidRPr="0088601D">
        <w:rPr>
          <w:rFonts w:ascii="Verdana" w:hAnsi="Verdana" w:cs="Arial"/>
          <w:b w:val="0"/>
          <w:color w:val="auto"/>
          <w:sz w:val="22"/>
          <w:szCs w:val="22"/>
        </w:rPr>
        <w:t>eserves the right to amend its subcontracting arrangements at any time in accordance with requirements of funding bodies and terms and conditions contained in its standard contract for subcontracted provision.</w:t>
      </w:r>
    </w:p>
    <w:p w:rsidR="00F0194E" w:rsidRDefault="00F0194E" w:rsidP="0088601D">
      <w:pPr>
        <w:jc w:val="both"/>
        <w:rPr>
          <w:rFonts w:ascii="Verdana" w:hAnsi="Verdana" w:cs="Arial"/>
          <w:b/>
          <w:color w:val="1F497D" w:themeColor="text2"/>
        </w:rPr>
      </w:pPr>
    </w:p>
    <w:p w:rsidR="00A72900" w:rsidRPr="0088601D" w:rsidRDefault="0088601D" w:rsidP="0088601D">
      <w:pPr>
        <w:jc w:val="both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>S</w:t>
      </w:r>
      <w:r w:rsidR="007D6A82" w:rsidRPr="0088601D">
        <w:rPr>
          <w:rFonts w:ascii="Verdana" w:hAnsi="Verdana" w:cs="Arial"/>
          <w:b/>
          <w:color w:val="1F497D" w:themeColor="text2"/>
        </w:rPr>
        <w:t>cope</w:t>
      </w:r>
    </w:p>
    <w:p w:rsidR="007F305F" w:rsidRPr="0088601D" w:rsidRDefault="007D6A82" w:rsidP="0088601D">
      <w:pPr>
        <w:jc w:val="both"/>
        <w:rPr>
          <w:rFonts w:ascii="Verdana" w:hAnsi="Verdana" w:cs="Arial"/>
          <w:b/>
          <w:color w:val="1F497D" w:themeColor="text2"/>
        </w:rPr>
      </w:pPr>
      <w:r w:rsidRPr="0088601D">
        <w:rPr>
          <w:rFonts w:ascii="Verdana" w:hAnsi="Verdana" w:cs="Arial"/>
        </w:rPr>
        <w:t xml:space="preserve">This policy </w:t>
      </w:r>
      <w:r w:rsidR="007F305F" w:rsidRPr="0088601D">
        <w:rPr>
          <w:rFonts w:ascii="Verdana" w:hAnsi="Verdana" w:cs="Arial"/>
        </w:rPr>
        <w:t xml:space="preserve">will apply to all subcontracted training activity undertaken by the </w:t>
      </w:r>
      <w:r w:rsidR="00F0194E">
        <w:rPr>
          <w:rFonts w:ascii="Verdana" w:hAnsi="Verdana" w:cs="Arial"/>
        </w:rPr>
        <w:t>C</w:t>
      </w:r>
      <w:r w:rsidR="007F305F" w:rsidRPr="0088601D">
        <w:rPr>
          <w:rFonts w:ascii="Verdana" w:hAnsi="Verdana" w:cs="Arial"/>
        </w:rPr>
        <w:t>ollege</w:t>
      </w:r>
    </w:p>
    <w:p w:rsidR="00A72900" w:rsidRPr="0088601D" w:rsidRDefault="00D41149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8601D">
        <w:rPr>
          <w:rFonts w:ascii="Verdana" w:hAnsi="Verdana" w:cs="Arial"/>
          <w:color w:val="1F497D" w:themeColor="text2"/>
          <w:sz w:val="22"/>
          <w:szCs w:val="22"/>
        </w:rPr>
        <w:t>Rationale for Sub-Contracting</w:t>
      </w:r>
    </w:p>
    <w:p w:rsidR="00D41149" w:rsidRPr="0088601D" w:rsidRDefault="00A95A4E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Farnborough College of Technology </w:t>
      </w:r>
      <w:r w:rsidR="006259BB" w:rsidRPr="0088601D">
        <w:rPr>
          <w:rFonts w:ascii="Verdana" w:hAnsi="Verdana" w:cs="Arial"/>
        </w:rPr>
        <w:t xml:space="preserve">contracts with </w:t>
      </w:r>
      <w:r w:rsidRPr="0088601D">
        <w:rPr>
          <w:rFonts w:ascii="Verdana" w:hAnsi="Verdana" w:cs="Arial"/>
        </w:rPr>
        <w:t>other training provider</w:t>
      </w:r>
      <w:r w:rsidR="006259BB" w:rsidRPr="0088601D">
        <w:rPr>
          <w:rFonts w:ascii="Verdana" w:hAnsi="Verdana" w:cs="Arial"/>
        </w:rPr>
        <w:t>s</w:t>
      </w:r>
      <w:r w:rsidR="00D41149" w:rsidRPr="0088601D">
        <w:rPr>
          <w:rFonts w:ascii="Verdana" w:hAnsi="Verdana" w:cs="Arial"/>
        </w:rPr>
        <w:t xml:space="preserve"> to ensure </w:t>
      </w:r>
      <w:r w:rsidR="00C11F26" w:rsidRPr="00B86884">
        <w:rPr>
          <w:rFonts w:ascii="Verdana" w:hAnsi="Verdana" w:cs="Arial"/>
        </w:rPr>
        <w:t xml:space="preserve">employer </w:t>
      </w:r>
      <w:r w:rsidR="00D41149" w:rsidRPr="0088601D">
        <w:rPr>
          <w:rFonts w:ascii="Verdana" w:hAnsi="Verdana" w:cs="Arial"/>
        </w:rPr>
        <w:t>needs are best served. We recognise the need to offer a diverse and flexible provision in a cost effective way. By working in partnership with subcontractors the College is able to do the following:</w:t>
      </w:r>
    </w:p>
    <w:p w:rsidR="00D41149" w:rsidRPr="0088601D" w:rsidRDefault="00D41149" w:rsidP="008860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Engage with the wider community, thus increasing participation by attracting learners who are unable or unwilling to attend provision offered on College campuses</w:t>
      </w:r>
    </w:p>
    <w:p w:rsidR="00D41149" w:rsidRPr="0088601D" w:rsidRDefault="00D41149" w:rsidP="008860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Offer flexibility by delivering provision at times and venues convenient to learners and employers</w:t>
      </w:r>
    </w:p>
    <w:p w:rsidR="00D41149" w:rsidRDefault="00D41149" w:rsidP="008860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Contribute towards the sustainability of the College’s provision overall, as it helps the College to respond to changing market demands and emerging opportunities</w:t>
      </w:r>
    </w:p>
    <w:p w:rsidR="006209BE" w:rsidRDefault="006209BE" w:rsidP="008860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Widen progression opportunities for learners both from subcontractors to the College’s programmes and vice-versa</w:t>
      </w:r>
    </w:p>
    <w:p w:rsidR="00365795" w:rsidRPr="006209BE" w:rsidRDefault="00C11F26" w:rsidP="008860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</w:rPr>
      </w:pPr>
      <w:r w:rsidRPr="006209BE">
        <w:rPr>
          <w:rFonts w:ascii="Verdana" w:hAnsi="Verdana" w:cs="Arial"/>
        </w:rPr>
        <w:lastRenderedPageBreak/>
        <w:t>Deliver provision in which the Subcontractor has specialist expertise, so ensuring a high quality of teaching and learning</w:t>
      </w:r>
    </w:p>
    <w:p w:rsidR="00D41149" w:rsidRPr="0088601D" w:rsidRDefault="00D41149" w:rsidP="008860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Enables the College to respond quickly </w:t>
      </w:r>
      <w:r w:rsidR="006209BE">
        <w:rPr>
          <w:rFonts w:ascii="Verdana" w:hAnsi="Verdana" w:cs="Arial"/>
        </w:rPr>
        <w:t xml:space="preserve">and flexibly </w:t>
      </w:r>
      <w:r w:rsidRPr="0088601D">
        <w:rPr>
          <w:rFonts w:ascii="Verdana" w:hAnsi="Verdana" w:cs="Arial"/>
        </w:rPr>
        <w:t>to employer and learner demand, providing greater choice for learners</w:t>
      </w:r>
    </w:p>
    <w:p w:rsidR="00D41149" w:rsidRDefault="00D41149" w:rsidP="008860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Provide immediate provision whilst expanding dire</w:t>
      </w:r>
      <w:r w:rsidR="00D12121" w:rsidRPr="0088601D">
        <w:rPr>
          <w:rFonts w:ascii="Verdana" w:hAnsi="Verdana" w:cs="Arial"/>
        </w:rPr>
        <w:t>ct capacity</w:t>
      </w:r>
      <w:r w:rsidR="006209BE">
        <w:rPr>
          <w:rFonts w:ascii="Verdana" w:hAnsi="Verdana" w:cs="Arial"/>
        </w:rPr>
        <w:t xml:space="preserve"> and expertise</w:t>
      </w:r>
    </w:p>
    <w:p w:rsidR="006209BE" w:rsidRPr="0088601D" w:rsidRDefault="006209BE" w:rsidP="006209BE">
      <w:pPr>
        <w:pStyle w:val="ListParagraph"/>
        <w:spacing w:line="240" w:lineRule="auto"/>
        <w:ind w:left="360"/>
        <w:jc w:val="both"/>
        <w:rPr>
          <w:rFonts w:ascii="Verdana" w:hAnsi="Verdana" w:cs="Arial"/>
        </w:rPr>
      </w:pPr>
    </w:p>
    <w:p w:rsidR="00D41149" w:rsidRPr="0088601D" w:rsidRDefault="007D6A82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Farnborough College of Technology </w:t>
      </w:r>
      <w:r w:rsidR="00D41149" w:rsidRPr="0088601D">
        <w:rPr>
          <w:rFonts w:ascii="Verdana" w:hAnsi="Verdana" w:cs="Arial"/>
        </w:rPr>
        <w:t>ensures that Subcontractors are included in the College’s Quality Cycle and are supported, developed and have the opportunity to share good practice through; quality reviews, operational meetings, observations of teaching and learning and learner</w:t>
      </w:r>
      <w:r w:rsidR="00FC2B81" w:rsidRPr="0088601D">
        <w:rPr>
          <w:rFonts w:ascii="Verdana" w:hAnsi="Verdana" w:cs="Arial"/>
        </w:rPr>
        <w:t xml:space="preserve"> </w:t>
      </w:r>
      <w:r w:rsidR="00D41149" w:rsidRPr="0088601D">
        <w:rPr>
          <w:rFonts w:ascii="Verdana" w:hAnsi="Verdana" w:cs="Arial"/>
        </w:rPr>
        <w:t>and empl</w:t>
      </w:r>
      <w:r w:rsidR="00FC2B81" w:rsidRPr="0088601D">
        <w:rPr>
          <w:rFonts w:ascii="Verdana" w:hAnsi="Verdana" w:cs="Arial"/>
        </w:rPr>
        <w:t>oyer feedback</w:t>
      </w:r>
      <w:r w:rsidR="00C11F26">
        <w:rPr>
          <w:rFonts w:ascii="Verdana" w:hAnsi="Verdana" w:cs="Arial"/>
        </w:rPr>
        <w:t xml:space="preserve">. </w:t>
      </w:r>
    </w:p>
    <w:p w:rsidR="00D41149" w:rsidRPr="0088601D" w:rsidRDefault="007D6A82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8601D">
        <w:rPr>
          <w:rFonts w:ascii="Verdana" w:hAnsi="Verdana" w:cs="Arial"/>
          <w:color w:val="1F497D" w:themeColor="text2"/>
          <w:sz w:val="22"/>
          <w:szCs w:val="22"/>
        </w:rPr>
        <w:t>Fees and Charges 201</w:t>
      </w:r>
      <w:r w:rsidR="00F0194E">
        <w:rPr>
          <w:rFonts w:ascii="Verdana" w:hAnsi="Verdana" w:cs="Arial"/>
          <w:color w:val="1F497D" w:themeColor="text2"/>
          <w:sz w:val="22"/>
          <w:szCs w:val="22"/>
        </w:rPr>
        <w:t>6</w:t>
      </w:r>
      <w:r w:rsidRPr="0088601D">
        <w:rPr>
          <w:rFonts w:ascii="Verdana" w:hAnsi="Verdana" w:cs="Arial"/>
          <w:color w:val="1F497D" w:themeColor="text2"/>
          <w:sz w:val="22"/>
          <w:szCs w:val="22"/>
        </w:rPr>
        <w:t>/1</w:t>
      </w:r>
      <w:r w:rsidR="00F0194E">
        <w:rPr>
          <w:rFonts w:ascii="Verdana" w:hAnsi="Verdana" w:cs="Arial"/>
          <w:color w:val="1F497D" w:themeColor="text2"/>
          <w:sz w:val="22"/>
          <w:szCs w:val="22"/>
        </w:rPr>
        <w:t>7</w:t>
      </w:r>
    </w:p>
    <w:p w:rsidR="00D41149" w:rsidRPr="0088601D" w:rsidRDefault="00D12121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Farnborough College of Technology </w:t>
      </w:r>
      <w:r w:rsidR="00D41149" w:rsidRPr="0088601D">
        <w:rPr>
          <w:rFonts w:ascii="Verdana" w:hAnsi="Verdana" w:cs="Arial"/>
        </w:rPr>
        <w:t>retains a management fee from all subcontracted partner organisat</w:t>
      </w:r>
      <w:r w:rsidRPr="0088601D">
        <w:rPr>
          <w:rFonts w:ascii="Verdana" w:hAnsi="Verdana" w:cs="Arial"/>
        </w:rPr>
        <w:t>ions; th</w:t>
      </w:r>
      <w:r w:rsidR="00831469">
        <w:rPr>
          <w:rFonts w:ascii="Verdana" w:hAnsi="Verdana" w:cs="Arial"/>
        </w:rPr>
        <w:t>i</w:t>
      </w:r>
      <w:r w:rsidRPr="0088601D">
        <w:rPr>
          <w:rFonts w:ascii="Verdana" w:hAnsi="Verdana" w:cs="Arial"/>
        </w:rPr>
        <w:t>s range</w:t>
      </w:r>
      <w:r w:rsidR="00831469">
        <w:rPr>
          <w:rFonts w:ascii="Verdana" w:hAnsi="Verdana" w:cs="Arial"/>
        </w:rPr>
        <w:t>s</w:t>
      </w:r>
      <w:r w:rsidRPr="0088601D">
        <w:rPr>
          <w:rFonts w:ascii="Verdana" w:hAnsi="Verdana" w:cs="Arial"/>
        </w:rPr>
        <w:t xml:space="preserve"> from 15% to 20</w:t>
      </w:r>
      <w:r w:rsidR="00D41149" w:rsidRPr="0088601D">
        <w:rPr>
          <w:rFonts w:ascii="Verdana" w:hAnsi="Verdana" w:cs="Arial"/>
        </w:rPr>
        <w:t>% of the total contract value agree</w:t>
      </w:r>
      <w:r w:rsidR="007D6A82" w:rsidRPr="0088601D">
        <w:rPr>
          <w:rFonts w:ascii="Verdana" w:hAnsi="Verdana" w:cs="Arial"/>
        </w:rPr>
        <w:t>d with the subcontractor. Management</w:t>
      </w:r>
      <w:r w:rsidR="00D41149" w:rsidRPr="0088601D">
        <w:rPr>
          <w:rFonts w:ascii="Verdana" w:hAnsi="Verdana" w:cs="Arial"/>
        </w:rPr>
        <w:t xml:space="preserve"> fee levels depend on outcomes of risk assessment</w:t>
      </w:r>
      <w:r w:rsidR="00C11F26">
        <w:rPr>
          <w:rFonts w:ascii="Verdana" w:hAnsi="Verdana" w:cs="Arial"/>
        </w:rPr>
        <w:t xml:space="preserve"> and the</w:t>
      </w:r>
      <w:r w:rsidR="00D41149" w:rsidRPr="0088601D">
        <w:rPr>
          <w:rFonts w:ascii="Verdana" w:hAnsi="Verdana" w:cs="Arial"/>
        </w:rPr>
        <w:t xml:space="preserve"> services</w:t>
      </w:r>
      <w:r w:rsidR="006259BB" w:rsidRPr="0088601D">
        <w:rPr>
          <w:rFonts w:ascii="Verdana" w:hAnsi="Verdana" w:cs="Arial"/>
        </w:rPr>
        <w:t xml:space="preserve"> provided.</w:t>
      </w:r>
    </w:p>
    <w:p w:rsidR="00D41149" w:rsidRPr="0088601D" w:rsidRDefault="00D41149" w:rsidP="0088601D">
      <w:pPr>
        <w:spacing w:line="240" w:lineRule="auto"/>
        <w:contextualSpacing/>
        <w:jc w:val="both"/>
        <w:rPr>
          <w:rFonts w:ascii="Verdana" w:hAnsi="Verdana" w:cs="Arial"/>
        </w:rPr>
      </w:pPr>
    </w:p>
    <w:p w:rsidR="00D41149" w:rsidRPr="0088601D" w:rsidRDefault="00D12121" w:rsidP="0088601D">
      <w:pPr>
        <w:spacing w:line="240" w:lineRule="auto"/>
        <w:jc w:val="both"/>
        <w:rPr>
          <w:rFonts w:ascii="Verdana" w:hAnsi="Verdana" w:cs="Arial"/>
          <w:b/>
          <w:color w:val="1F497D" w:themeColor="text2"/>
        </w:rPr>
      </w:pPr>
      <w:r w:rsidRPr="0088601D">
        <w:rPr>
          <w:rFonts w:ascii="Verdana" w:hAnsi="Verdana" w:cs="Arial"/>
          <w:b/>
          <w:color w:val="1F497D" w:themeColor="text2"/>
        </w:rPr>
        <w:t>Support p</w:t>
      </w:r>
      <w:r w:rsidR="00D41149" w:rsidRPr="0088601D">
        <w:rPr>
          <w:rFonts w:ascii="Verdana" w:hAnsi="Verdana" w:cs="Arial"/>
          <w:b/>
          <w:color w:val="1F497D" w:themeColor="text2"/>
        </w:rPr>
        <w:t>rovided to Subcontractors</w:t>
      </w:r>
      <w:r w:rsidR="000150C7" w:rsidRPr="0088601D">
        <w:rPr>
          <w:rFonts w:ascii="Verdana" w:hAnsi="Verdana" w:cs="Arial"/>
          <w:b/>
          <w:color w:val="1F497D" w:themeColor="text2"/>
        </w:rPr>
        <w:t xml:space="preserve"> 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Advice and guidance at pre-contract stage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Once a contract is agreed a Contract Manager is assigned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Regular contract review and quality meetings 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A suite of relevant reports to monitor progress against profile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Regular monitoring visits with detailed feedback identifying good practice and areas for improvement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Paperwork submission, enrolment and audit compliance training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Subcontractors are invited to whole staff development activities where appropriate and relevant CPD opportunities such as Safeguarding Training, Equality Training, SAR Training, Quality Training</w:t>
      </w:r>
    </w:p>
    <w:p w:rsidR="00D41149" w:rsidRPr="0088601D" w:rsidRDefault="00BF4461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Subcontractors are k</w:t>
      </w:r>
      <w:r w:rsidR="00D41149" w:rsidRPr="0088601D">
        <w:rPr>
          <w:rFonts w:ascii="Verdana" w:hAnsi="Verdana" w:cs="Arial"/>
        </w:rPr>
        <w:t>ept up to date with new funding guidance and any legal changes that impact on the learners as they occur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On-going administration support including detailed checks of evidence submitted and regular feedback on issues identified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Submissions of data to funding organisations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Processing and submission of enrolment documentation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Regular financial reports to inform invoicing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On-going data checks and support to resolve data queries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On-going support to address any areas of improvement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Opportunities to share good practice are identified and implemented</w:t>
      </w:r>
    </w:p>
    <w:p w:rsidR="00D41149" w:rsidRPr="0088601D" w:rsidRDefault="00D41149" w:rsidP="008860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Provide relevant training and development to meet the needs arising from Teaching, Learning and Assessment observations</w:t>
      </w:r>
    </w:p>
    <w:p w:rsidR="00D12121" w:rsidRPr="0088601D" w:rsidRDefault="00D12121" w:rsidP="0088601D">
      <w:pPr>
        <w:pStyle w:val="ListParagraph"/>
        <w:spacing w:line="240" w:lineRule="auto"/>
        <w:ind w:left="360"/>
        <w:jc w:val="both"/>
        <w:rPr>
          <w:rFonts w:ascii="Verdana" w:hAnsi="Verdana" w:cs="Arial"/>
          <w:color w:val="1F497D" w:themeColor="text2"/>
        </w:rPr>
      </w:pPr>
    </w:p>
    <w:p w:rsidR="00A72900" w:rsidRPr="0088601D" w:rsidRDefault="00D41149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8601D">
        <w:rPr>
          <w:rFonts w:ascii="Verdana" w:hAnsi="Verdana" w:cs="Arial"/>
          <w:color w:val="1F497D" w:themeColor="text2"/>
          <w:sz w:val="22"/>
          <w:szCs w:val="22"/>
        </w:rPr>
        <w:t>Reason for Differences in Fees Charged</w:t>
      </w:r>
    </w:p>
    <w:p w:rsidR="00D41149" w:rsidRPr="0088601D" w:rsidRDefault="00D41149" w:rsidP="0088601D">
      <w:pPr>
        <w:spacing w:line="240" w:lineRule="auto"/>
        <w:contextualSpacing/>
        <w:jc w:val="both"/>
        <w:rPr>
          <w:rFonts w:ascii="Verdana" w:hAnsi="Verdana" w:cs="Arial"/>
          <w:color w:val="FF0000"/>
        </w:rPr>
      </w:pPr>
      <w:r w:rsidRPr="0088601D">
        <w:rPr>
          <w:rFonts w:ascii="Verdana" w:hAnsi="Verdana" w:cs="Arial"/>
        </w:rPr>
        <w:t>Not all subcontractors are charged the same management fee; differences in fees are dependent upon a variety of factors including:</w:t>
      </w:r>
      <w:r w:rsidR="000150C7" w:rsidRPr="0088601D">
        <w:rPr>
          <w:rFonts w:ascii="Verdana" w:hAnsi="Verdana" w:cs="Arial"/>
        </w:rPr>
        <w:t xml:space="preserve"> </w:t>
      </w:r>
    </w:p>
    <w:p w:rsidR="00831469" w:rsidRPr="0088601D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Track record of Subcontractor with regard to meeting success and funding targets</w:t>
      </w:r>
    </w:p>
    <w:p w:rsidR="00831469" w:rsidRPr="0088601D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Geographical location of Teaching and Learning</w:t>
      </w:r>
    </w:p>
    <w:p w:rsidR="00831469" w:rsidRPr="00831469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Length and history of </w:t>
      </w:r>
      <w:r>
        <w:rPr>
          <w:rFonts w:ascii="Verdana" w:hAnsi="Verdana" w:cs="Arial"/>
        </w:rPr>
        <w:t>s</w:t>
      </w:r>
      <w:r w:rsidRPr="0088601D">
        <w:rPr>
          <w:rFonts w:ascii="Verdana" w:hAnsi="Verdana" w:cs="Arial"/>
        </w:rPr>
        <w:t>ubcontracting</w:t>
      </w:r>
      <w:r>
        <w:rPr>
          <w:rFonts w:ascii="Verdana" w:hAnsi="Verdana" w:cs="Arial"/>
        </w:rPr>
        <w:t xml:space="preserve"> </w:t>
      </w:r>
      <w:r w:rsidRPr="00831469">
        <w:rPr>
          <w:rFonts w:ascii="Verdana" w:hAnsi="Verdana" w:cs="Arial"/>
        </w:rPr>
        <w:t>relationship with the College</w:t>
      </w:r>
    </w:p>
    <w:p w:rsidR="00831469" w:rsidRPr="00831469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31469">
        <w:rPr>
          <w:rFonts w:ascii="Verdana" w:hAnsi="Verdana" w:cs="Arial"/>
        </w:rPr>
        <w:lastRenderedPageBreak/>
        <w:t>Financial standing of the Subcontractor</w:t>
      </w:r>
    </w:p>
    <w:p w:rsidR="00831469" w:rsidRPr="0088601D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Sector </w:t>
      </w:r>
      <w:r>
        <w:rPr>
          <w:rFonts w:ascii="Verdana" w:hAnsi="Verdana" w:cs="Arial"/>
        </w:rPr>
        <w:t>su</w:t>
      </w:r>
      <w:r w:rsidRPr="0088601D">
        <w:rPr>
          <w:rFonts w:ascii="Verdana" w:hAnsi="Verdana" w:cs="Arial"/>
        </w:rPr>
        <w:t xml:space="preserve">bject </w:t>
      </w:r>
      <w:r>
        <w:rPr>
          <w:rFonts w:ascii="Verdana" w:hAnsi="Verdana" w:cs="Arial"/>
        </w:rPr>
        <w:t>a</w:t>
      </w:r>
      <w:r w:rsidRPr="0088601D">
        <w:rPr>
          <w:rFonts w:ascii="Verdana" w:hAnsi="Verdana" w:cs="Arial"/>
        </w:rPr>
        <w:t>rea</w:t>
      </w:r>
    </w:p>
    <w:p w:rsidR="00831469" w:rsidRPr="0088601D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Types of programmes</w:t>
      </w:r>
    </w:p>
    <w:p w:rsidR="00831469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BF4461">
        <w:rPr>
          <w:rFonts w:ascii="Verdana" w:hAnsi="Verdana" w:cs="Arial"/>
        </w:rPr>
        <w:t xml:space="preserve">Contract size with regard to both funding and learner numbers </w:t>
      </w:r>
    </w:p>
    <w:p w:rsidR="00831469" w:rsidRPr="00BF4461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BF4461">
        <w:rPr>
          <w:rFonts w:ascii="Verdana" w:hAnsi="Verdana" w:cs="Arial"/>
        </w:rPr>
        <w:t>Any activities that the College undertakes on behalf of the Subcontractor such as</w:t>
      </w:r>
      <w:r w:rsidRPr="00831469">
        <w:rPr>
          <w:rFonts w:ascii="Verdana" w:hAnsi="Verdana" w:cs="Arial"/>
        </w:rPr>
        <w:t>, Verification, Certification, Employer Engagement</w:t>
      </w:r>
    </w:p>
    <w:p w:rsidR="00831469" w:rsidRPr="0088601D" w:rsidRDefault="00831469" w:rsidP="008314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Anticipated demands of the contract on the College’s resources including facilities</w:t>
      </w:r>
    </w:p>
    <w:p w:rsidR="00D41149" w:rsidRPr="0088601D" w:rsidRDefault="00A72900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31469">
        <w:rPr>
          <w:rFonts w:ascii="Verdana" w:hAnsi="Verdana" w:cs="Arial"/>
          <w:color w:val="1F497D" w:themeColor="text2"/>
          <w:sz w:val="22"/>
          <w:szCs w:val="22"/>
        </w:rPr>
        <w:t xml:space="preserve">Payment Terms between Farnborough College of Technology </w:t>
      </w:r>
      <w:r w:rsidR="00D41149" w:rsidRPr="00831469">
        <w:rPr>
          <w:rFonts w:ascii="Verdana" w:hAnsi="Verdana" w:cs="Arial"/>
          <w:color w:val="1F497D" w:themeColor="text2"/>
          <w:sz w:val="22"/>
          <w:szCs w:val="22"/>
        </w:rPr>
        <w:t>and its Subcontractors</w:t>
      </w:r>
    </w:p>
    <w:p w:rsidR="00DB4A4F" w:rsidRPr="00DB4A4F" w:rsidRDefault="00DB4A4F" w:rsidP="00E02A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DB4A4F">
        <w:rPr>
          <w:rFonts w:ascii="Verdana" w:hAnsi="Verdana" w:cs="Arial"/>
        </w:rPr>
        <w:t>Payments to subcontractors are calculated on a monthly basis, taking into</w:t>
      </w:r>
    </w:p>
    <w:p w:rsidR="00DB4A4F" w:rsidRPr="00185EEA" w:rsidRDefault="00DB4A4F" w:rsidP="00E02A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</w:rPr>
      </w:pPr>
      <w:proofErr w:type="gramStart"/>
      <w:r w:rsidRPr="00185EEA">
        <w:rPr>
          <w:rFonts w:ascii="Verdana" w:hAnsi="Verdana" w:cs="Arial"/>
        </w:rPr>
        <w:t>account</w:t>
      </w:r>
      <w:proofErr w:type="gramEnd"/>
      <w:r w:rsidRPr="00185EEA">
        <w:rPr>
          <w:rFonts w:ascii="Verdana" w:hAnsi="Verdana" w:cs="Arial"/>
        </w:rPr>
        <w:t xml:space="preserve"> funding generated to date, the mana</w:t>
      </w:r>
      <w:r>
        <w:rPr>
          <w:rFonts w:ascii="Verdana" w:hAnsi="Verdana" w:cs="Arial"/>
        </w:rPr>
        <w:t>gement fee and payments to date</w:t>
      </w:r>
    </w:p>
    <w:p w:rsidR="00DB4A4F" w:rsidRPr="00DB4A4F" w:rsidRDefault="00DB4A4F" w:rsidP="00E02A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DB4A4F">
        <w:rPr>
          <w:rFonts w:ascii="Verdana" w:hAnsi="Verdana" w:cs="Arial"/>
        </w:rPr>
        <w:t>Payment calculations are based on actual funding g</w:t>
      </w:r>
      <w:r>
        <w:rPr>
          <w:rFonts w:ascii="Verdana" w:hAnsi="Verdana" w:cs="Arial"/>
        </w:rPr>
        <w:t>enerated for each month</w:t>
      </w:r>
    </w:p>
    <w:p w:rsidR="00DB4A4F" w:rsidRPr="00DB4A4F" w:rsidRDefault="00DB4A4F" w:rsidP="00E02A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DB4A4F">
        <w:rPr>
          <w:rFonts w:ascii="Verdana" w:hAnsi="Verdana" w:cs="Arial"/>
        </w:rPr>
        <w:t>Up to 50% of the College payment will b</w:t>
      </w:r>
      <w:r>
        <w:rPr>
          <w:rFonts w:ascii="Verdana" w:hAnsi="Verdana" w:cs="Arial"/>
        </w:rPr>
        <w:t>e linked to learner achievement</w:t>
      </w:r>
    </w:p>
    <w:p w:rsidR="00DB4A4F" w:rsidRPr="00DB4A4F" w:rsidRDefault="00DB4A4F" w:rsidP="00E02A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DB4A4F">
        <w:rPr>
          <w:rFonts w:ascii="Verdana" w:hAnsi="Verdana" w:cs="Arial"/>
        </w:rPr>
        <w:t>For any funding to be generated for a given month, subcontractors are required to submit enrolment and achievement evidence by a certain cut-off date. This is to ensure that the data is processed by the College in time for the monthly ILR return and the</w:t>
      </w:r>
      <w:r>
        <w:rPr>
          <w:rFonts w:ascii="Verdana" w:hAnsi="Verdana" w:cs="Arial"/>
        </w:rPr>
        <w:t xml:space="preserve"> subsequent funding calculation</w:t>
      </w:r>
    </w:p>
    <w:p w:rsidR="00DB4A4F" w:rsidRPr="00293293" w:rsidRDefault="00DB4A4F" w:rsidP="00E02A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293293">
        <w:rPr>
          <w:rFonts w:ascii="Verdana" w:hAnsi="Verdana" w:cs="Arial"/>
        </w:rPr>
        <w:t>After each month end the College will send monthly funding schedules to</w:t>
      </w:r>
    </w:p>
    <w:p w:rsidR="00DB4A4F" w:rsidRPr="00185EEA" w:rsidRDefault="00DB4A4F" w:rsidP="00E02A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</w:rPr>
      </w:pPr>
      <w:proofErr w:type="gramStart"/>
      <w:r w:rsidRPr="00185EEA">
        <w:rPr>
          <w:rFonts w:ascii="Verdana" w:hAnsi="Verdana" w:cs="Arial"/>
        </w:rPr>
        <w:t>subcontractors</w:t>
      </w:r>
      <w:proofErr w:type="gramEnd"/>
      <w:r w:rsidR="00293293">
        <w:rPr>
          <w:rFonts w:ascii="Verdana" w:hAnsi="Verdana" w:cs="Arial"/>
        </w:rPr>
        <w:t xml:space="preserve"> confirming the invoice amount. Subcontractors use the monthly schedule to raise an invoice to the College</w:t>
      </w:r>
    </w:p>
    <w:p w:rsidR="00DB4A4F" w:rsidRDefault="00DB4A4F" w:rsidP="00E02A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293293">
        <w:rPr>
          <w:rFonts w:ascii="Verdana" w:hAnsi="Verdana" w:cs="Arial"/>
        </w:rPr>
        <w:t xml:space="preserve">Invoices are payable </w:t>
      </w:r>
      <w:r w:rsidR="00293293">
        <w:rPr>
          <w:rFonts w:ascii="Verdana" w:hAnsi="Verdana" w:cs="Arial"/>
        </w:rPr>
        <w:t>14 days from the date of issue</w:t>
      </w:r>
    </w:p>
    <w:p w:rsidR="005642BC" w:rsidRPr="005642BC" w:rsidRDefault="005642BC" w:rsidP="00E02ACD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5642BC">
        <w:rPr>
          <w:rFonts w:ascii="Verdana" w:hAnsi="Verdana" w:cs="Arial"/>
        </w:rPr>
        <w:t>No payment will be made where a learner has withdrawn prior to 6 weeks from start da</w:t>
      </w:r>
      <w:r>
        <w:rPr>
          <w:rFonts w:ascii="Verdana" w:hAnsi="Verdana" w:cs="Arial"/>
        </w:rPr>
        <w:t>te or cancelled or not achieved</w:t>
      </w:r>
    </w:p>
    <w:p w:rsidR="005642BC" w:rsidRPr="005642BC" w:rsidRDefault="005642BC" w:rsidP="00E02ACD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Verdana" w:hAnsi="Verdana" w:cs="Arial"/>
          <w:color w:val="FF0000"/>
        </w:rPr>
      </w:pPr>
      <w:r w:rsidRPr="005642BC">
        <w:rPr>
          <w:rFonts w:ascii="Verdana" w:hAnsi="Verdana" w:cs="Arial"/>
        </w:rPr>
        <w:t>Payment of achievements will only be made on receipt of proof from the Awarding Body</w:t>
      </w:r>
    </w:p>
    <w:p w:rsidR="005642BC" w:rsidRPr="00293293" w:rsidRDefault="005642BC" w:rsidP="00E02AC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</w:rPr>
      </w:pPr>
    </w:p>
    <w:p w:rsidR="00DB4A4F" w:rsidRPr="00185EEA" w:rsidRDefault="00DB4A4F" w:rsidP="00E02A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185EEA">
        <w:rPr>
          <w:rFonts w:ascii="Verdana" w:hAnsi="Verdana" w:cs="Arial"/>
        </w:rPr>
        <w:t>Full details of payment arrangements for each individual contract are included</w:t>
      </w:r>
    </w:p>
    <w:p w:rsidR="00DB4A4F" w:rsidRDefault="00DB4A4F" w:rsidP="00E02A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185EEA">
        <w:rPr>
          <w:rFonts w:ascii="Verdana" w:hAnsi="Verdana" w:cs="Arial"/>
        </w:rPr>
        <w:t>in</w:t>
      </w:r>
      <w:proofErr w:type="gramEnd"/>
      <w:r w:rsidRPr="00185EEA">
        <w:rPr>
          <w:rFonts w:ascii="Verdana" w:hAnsi="Verdana" w:cs="Arial"/>
        </w:rPr>
        <w:t xml:space="preserve"> each subcontractors contract. These include the detailed schedule for</w:t>
      </w:r>
    </w:p>
    <w:p w:rsidR="00DB4A4F" w:rsidRPr="00185EEA" w:rsidRDefault="00DB4A4F" w:rsidP="00E02A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185EEA">
        <w:rPr>
          <w:rFonts w:ascii="Verdana" w:hAnsi="Verdana" w:cs="Arial"/>
        </w:rPr>
        <w:t>evidence</w:t>
      </w:r>
      <w:proofErr w:type="gramEnd"/>
      <w:r w:rsidRPr="00185EEA">
        <w:rPr>
          <w:rFonts w:ascii="Verdana" w:hAnsi="Verdana" w:cs="Arial"/>
        </w:rPr>
        <w:t xml:space="preserve"> submission and monthly financials deadlines, with specific dates for</w:t>
      </w:r>
    </w:p>
    <w:p w:rsidR="00DB4A4F" w:rsidRPr="00185EEA" w:rsidRDefault="00DB4A4F" w:rsidP="00E02A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185EEA">
        <w:rPr>
          <w:rFonts w:ascii="Verdana" w:hAnsi="Verdana" w:cs="Arial"/>
        </w:rPr>
        <w:t>each</w:t>
      </w:r>
      <w:proofErr w:type="gramEnd"/>
      <w:r w:rsidRPr="00185EEA">
        <w:rPr>
          <w:rFonts w:ascii="Verdana" w:hAnsi="Verdana" w:cs="Arial"/>
        </w:rPr>
        <w:t xml:space="preserve"> month.</w:t>
      </w:r>
    </w:p>
    <w:p w:rsidR="00172BEF" w:rsidRPr="0088601D" w:rsidRDefault="00D41149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8601D">
        <w:rPr>
          <w:rFonts w:ascii="Verdana" w:hAnsi="Verdana" w:cs="Arial"/>
          <w:color w:val="1F497D" w:themeColor="text2"/>
          <w:sz w:val="22"/>
          <w:szCs w:val="22"/>
        </w:rPr>
        <w:t>Policy Dissemination</w:t>
      </w:r>
    </w:p>
    <w:p w:rsidR="00D41149" w:rsidRPr="0088601D" w:rsidRDefault="00D41149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This policy will be disseminated to current Subcontractors via email and a website link.</w:t>
      </w:r>
    </w:p>
    <w:p w:rsidR="00D41149" w:rsidRPr="0088601D" w:rsidRDefault="00D41149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All potential Subcontractors will be made aware of the policy as part of the </w:t>
      </w:r>
      <w:r w:rsidR="006259BB" w:rsidRPr="0088601D">
        <w:rPr>
          <w:rFonts w:ascii="Verdana" w:hAnsi="Verdana" w:cs="Arial"/>
        </w:rPr>
        <w:t xml:space="preserve">initial negotiation and due diligence </w:t>
      </w:r>
      <w:r w:rsidRPr="0088601D">
        <w:rPr>
          <w:rFonts w:ascii="Verdana" w:hAnsi="Verdana" w:cs="Arial"/>
        </w:rPr>
        <w:t>process and the website.</w:t>
      </w:r>
    </w:p>
    <w:p w:rsidR="00D41149" w:rsidRPr="0088601D" w:rsidRDefault="00D41149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8601D">
        <w:rPr>
          <w:rFonts w:ascii="Verdana" w:hAnsi="Verdana" w:cs="Arial"/>
          <w:color w:val="1F497D" w:themeColor="text2"/>
          <w:sz w:val="22"/>
          <w:szCs w:val="22"/>
        </w:rPr>
        <w:t>Policy Review</w:t>
      </w:r>
    </w:p>
    <w:p w:rsidR="00C14261" w:rsidRPr="0088601D" w:rsidRDefault="009E6778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 xml:space="preserve">Farnborough College of Technology </w:t>
      </w:r>
      <w:r w:rsidR="00D41149" w:rsidRPr="0088601D">
        <w:rPr>
          <w:rFonts w:ascii="Verdana" w:hAnsi="Verdana" w:cs="Arial"/>
        </w:rPr>
        <w:t>Supply – Chain Fees and Charg</w:t>
      </w:r>
      <w:r w:rsidRPr="0088601D">
        <w:rPr>
          <w:rFonts w:ascii="Verdana" w:hAnsi="Verdana" w:cs="Arial"/>
        </w:rPr>
        <w:t>es</w:t>
      </w:r>
      <w:r w:rsidR="00D41149" w:rsidRPr="0088601D">
        <w:rPr>
          <w:rFonts w:ascii="Verdana" w:hAnsi="Verdana" w:cs="Arial"/>
        </w:rPr>
        <w:t xml:space="preserve"> Policy will be reviewed on </w:t>
      </w:r>
      <w:r w:rsidR="00D41149" w:rsidRPr="00E02ACD">
        <w:rPr>
          <w:rFonts w:ascii="Verdana" w:hAnsi="Verdana" w:cs="Arial"/>
        </w:rPr>
        <w:t>a</w:t>
      </w:r>
      <w:r w:rsidR="00896FD0" w:rsidRPr="00E02ACD">
        <w:rPr>
          <w:rFonts w:ascii="Verdana" w:hAnsi="Verdana" w:cs="Arial"/>
        </w:rPr>
        <w:t>n annual</w:t>
      </w:r>
      <w:r w:rsidR="00D41149" w:rsidRPr="00E02ACD">
        <w:rPr>
          <w:rFonts w:ascii="Verdana" w:hAnsi="Verdana" w:cs="Arial"/>
        </w:rPr>
        <w:t xml:space="preserve"> basis</w:t>
      </w:r>
      <w:r w:rsidR="00D41149" w:rsidRPr="0088601D">
        <w:rPr>
          <w:rFonts w:ascii="Verdana" w:hAnsi="Verdana" w:cs="Arial"/>
        </w:rPr>
        <w:t xml:space="preserve"> and/or when significant changes in the Skills Funding Agency Funding Rules occur.</w:t>
      </w:r>
    </w:p>
    <w:p w:rsidR="00D41149" w:rsidRPr="0088601D" w:rsidRDefault="00D41149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Any changes to this policy that occur mid-contract will be discussed with Subcontractors.</w:t>
      </w:r>
    </w:p>
    <w:p w:rsidR="00D41149" w:rsidRPr="0088601D" w:rsidRDefault="00D41149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8601D">
        <w:rPr>
          <w:rFonts w:ascii="Verdana" w:hAnsi="Verdana" w:cs="Arial"/>
          <w:color w:val="1F497D" w:themeColor="text2"/>
          <w:sz w:val="22"/>
          <w:szCs w:val="22"/>
        </w:rPr>
        <w:t>Publishing Funding Data</w:t>
      </w:r>
    </w:p>
    <w:p w:rsidR="00D41149" w:rsidRPr="0088601D" w:rsidRDefault="00D41149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Data regarding the actual level of funding paid to each Subcontractor will be published annually within 30 days of the ILR closing.</w:t>
      </w:r>
    </w:p>
    <w:p w:rsidR="00D41149" w:rsidRPr="0088601D" w:rsidRDefault="00D41149" w:rsidP="0088601D">
      <w:pPr>
        <w:pStyle w:val="Heading2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88601D">
        <w:rPr>
          <w:rFonts w:ascii="Verdana" w:hAnsi="Verdana" w:cs="Arial"/>
          <w:color w:val="1F497D" w:themeColor="text2"/>
          <w:sz w:val="22"/>
          <w:szCs w:val="22"/>
        </w:rPr>
        <w:lastRenderedPageBreak/>
        <w:t>Policy Communication</w:t>
      </w:r>
    </w:p>
    <w:p w:rsidR="000A637F" w:rsidRPr="0088601D" w:rsidRDefault="00D41149" w:rsidP="0088601D">
      <w:pPr>
        <w:spacing w:line="240" w:lineRule="auto"/>
        <w:contextualSpacing/>
        <w:jc w:val="both"/>
        <w:rPr>
          <w:rFonts w:ascii="Verdana" w:hAnsi="Verdana" w:cs="Arial"/>
        </w:rPr>
      </w:pPr>
      <w:r w:rsidRPr="0088601D">
        <w:rPr>
          <w:rFonts w:ascii="Verdana" w:hAnsi="Verdana" w:cs="Arial"/>
        </w:rPr>
        <w:t>The Policy is available on-line at www.</w:t>
      </w:r>
      <w:r w:rsidR="009E6778" w:rsidRPr="0088601D">
        <w:rPr>
          <w:rFonts w:ascii="Verdana" w:hAnsi="Verdana" w:cs="Arial"/>
        </w:rPr>
        <w:t>farn-ct.ac.uk.</w:t>
      </w:r>
      <w:r w:rsidRPr="0088601D">
        <w:rPr>
          <w:rFonts w:ascii="Verdana" w:hAnsi="Verdana" w:cs="Arial"/>
        </w:rPr>
        <w:t xml:space="preserve"> The policy will be discussed with all current and future Subcontractors during contract negotiation meetings.</w:t>
      </w:r>
    </w:p>
    <w:p w:rsidR="00172BEF" w:rsidRPr="0088601D" w:rsidRDefault="00172BEF" w:rsidP="0088601D">
      <w:pPr>
        <w:spacing w:line="240" w:lineRule="auto"/>
        <w:contextualSpacing/>
        <w:jc w:val="both"/>
        <w:rPr>
          <w:rFonts w:ascii="Verdana" w:hAnsi="Verdana" w:cs="Arial"/>
        </w:rPr>
      </w:pPr>
    </w:p>
    <w:p w:rsidR="00172BEF" w:rsidRPr="0088601D" w:rsidRDefault="00172BEF" w:rsidP="0088601D">
      <w:pPr>
        <w:spacing w:line="240" w:lineRule="auto"/>
        <w:contextualSpacing/>
        <w:jc w:val="both"/>
        <w:rPr>
          <w:rFonts w:ascii="Verdana" w:hAnsi="Verdana" w:cs="Arial"/>
        </w:rPr>
      </w:pPr>
    </w:p>
    <w:p w:rsidR="00172BEF" w:rsidRPr="0088601D" w:rsidRDefault="00172BEF" w:rsidP="0088601D">
      <w:pPr>
        <w:spacing w:line="240" w:lineRule="auto"/>
        <w:contextualSpacing/>
        <w:jc w:val="both"/>
        <w:rPr>
          <w:rFonts w:ascii="Verdana" w:hAnsi="Verdana" w:cs="Arial"/>
        </w:rPr>
      </w:pPr>
    </w:p>
    <w:sectPr w:rsidR="00172BEF" w:rsidRPr="0088601D" w:rsidSect="003A57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10" w:rsidRDefault="004D1B10" w:rsidP="00E02ACD">
      <w:pPr>
        <w:spacing w:after="0" w:line="240" w:lineRule="auto"/>
      </w:pPr>
      <w:r>
        <w:separator/>
      </w:r>
    </w:p>
  </w:endnote>
  <w:endnote w:type="continuationSeparator" w:id="0">
    <w:p w:rsidR="004D1B10" w:rsidRDefault="004D1B10" w:rsidP="00E0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7172"/>
      <w:docPartObj>
        <w:docPartGallery w:val="Page Numbers (Bottom of Page)"/>
        <w:docPartUnique/>
      </w:docPartObj>
    </w:sdtPr>
    <w:sdtContent>
      <w:p w:rsidR="00F0194E" w:rsidRDefault="00C14DDD">
        <w:pPr>
          <w:pStyle w:val="Footer"/>
          <w:jc w:val="center"/>
        </w:pPr>
        <w:fldSimple w:instr=" PAGE   \* MERGEFORMAT ">
          <w:r w:rsidR="00C45E40">
            <w:rPr>
              <w:noProof/>
            </w:rPr>
            <w:t>1</w:t>
          </w:r>
        </w:fldSimple>
      </w:p>
    </w:sdtContent>
  </w:sdt>
  <w:p w:rsidR="00F0194E" w:rsidRDefault="00F01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10" w:rsidRDefault="004D1B10" w:rsidP="00E02ACD">
      <w:pPr>
        <w:spacing w:after="0" w:line="240" w:lineRule="auto"/>
      </w:pPr>
      <w:r>
        <w:separator/>
      </w:r>
    </w:p>
  </w:footnote>
  <w:footnote w:type="continuationSeparator" w:id="0">
    <w:p w:rsidR="004D1B10" w:rsidRDefault="004D1B10" w:rsidP="00E0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40B"/>
    <w:multiLevelType w:val="hybridMultilevel"/>
    <w:tmpl w:val="35985800"/>
    <w:lvl w:ilvl="0" w:tplc="5FEAF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2740"/>
    <w:multiLevelType w:val="multilevel"/>
    <w:tmpl w:val="1D94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A0D23"/>
    <w:multiLevelType w:val="hybridMultilevel"/>
    <w:tmpl w:val="45229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C6015"/>
    <w:multiLevelType w:val="multilevel"/>
    <w:tmpl w:val="BE6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32662"/>
    <w:multiLevelType w:val="multilevel"/>
    <w:tmpl w:val="89B2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71505"/>
    <w:multiLevelType w:val="hybridMultilevel"/>
    <w:tmpl w:val="F808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27A41"/>
    <w:multiLevelType w:val="multilevel"/>
    <w:tmpl w:val="E71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D4CBB"/>
    <w:multiLevelType w:val="multilevel"/>
    <w:tmpl w:val="D948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235C"/>
    <w:multiLevelType w:val="multilevel"/>
    <w:tmpl w:val="5F64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74E8B"/>
    <w:multiLevelType w:val="multilevel"/>
    <w:tmpl w:val="BDE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74486"/>
    <w:multiLevelType w:val="multilevel"/>
    <w:tmpl w:val="063C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5040D"/>
    <w:multiLevelType w:val="hybridMultilevel"/>
    <w:tmpl w:val="974A5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2550A0"/>
    <w:multiLevelType w:val="multilevel"/>
    <w:tmpl w:val="B57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65A16"/>
    <w:multiLevelType w:val="hybridMultilevel"/>
    <w:tmpl w:val="A726C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4A5350"/>
    <w:multiLevelType w:val="multilevel"/>
    <w:tmpl w:val="F16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329CE"/>
    <w:multiLevelType w:val="hybridMultilevel"/>
    <w:tmpl w:val="F74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C5ABF"/>
    <w:multiLevelType w:val="hybridMultilevel"/>
    <w:tmpl w:val="45AAF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8C75BB"/>
    <w:multiLevelType w:val="hybridMultilevel"/>
    <w:tmpl w:val="1E5AA800"/>
    <w:lvl w:ilvl="0" w:tplc="8D043B8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D14E8"/>
    <w:multiLevelType w:val="multilevel"/>
    <w:tmpl w:val="5BF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261F6"/>
    <w:multiLevelType w:val="multilevel"/>
    <w:tmpl w:val="A8A0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A1C23"/>
    <w:multiLevelType w:val="multilevel"/>
    <w:tmpl w:val="2EE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3"/>
  </w:num>
  <w:num w:numId="5">
    <w:abstractNumId w:val="2"/>
  </w:num>
  <w:num w:numId="6">
    <w:abstractNumId w:val="16"/>
  </w:num>
  <w:num w:numId="7">
    <w:abstractNumId w:val="14"/>
  </w:num>
  <w:num w:numId="8">
    <w:abstractNumId w:val="3"/>
  </w:num>
  <w:num w:numId="9">
    <w:abstractNumId w:val="6"/>
  </w:num>
  <w:num w:numId="10">
    <w:abstractNumId w:val="19"/>
  </w:num>
  <w:num w:numId="11">
    <w:abstractNumId w:val="7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10"/>
  </w:num>
  <w:num w:numId="17">
    <w:abstractNumId w:val="12"/>
  </w:num>
  <w:num w:numId="18">
    <w:abstractNumId w:val="1"/>
  </w:num>
  <w:num w:numId="19">
    <w:abstractNumId w:val="9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149"/>
    <w:rsid w:val="000150C7"/>
    <w:rsid w:val="000874C3"/>
    <w:rsid w:val="000A637F"/>
    <w:rsid w:val="00156FC2"/>
    <w:rsid w:val="00172BEF"/>
    <w:rsid w:val="00293293"/>
    <w:rsid w:val="00365795"/>
    <w:rsid w:val="003A5709"/>
    <w:rsid w:val="003C70FB"/>
    <w:rsid w:val="004044E8"/>
    <w:rsid w:val="004D1B10"/>
    <w:rsid w:val="00507B41"/>
    <w:rsid w:val="005642BC"/>
    <w:rsid w:val="006209BE"/>
    <w:rsid w:val="006259BB"/>
    <w:rsid w:val="00762ADF"/>
    <w:rsid w:val="007D6A82"/>
    <w:rsid w:val="007F305F"/>
    <w:rsid w:val="00831469"/>
    <w:rsid w:val="0085550B"/>
    <w:rsid w:val="0088601D"/>
    <w:rsid w:val="00896FD0"/>
    <w:rsid w:val="008A6693"/>
    <w:rsid w:val="008D2ACC"/>
    <w:rsid w:val="009024BE"/>
    <w:rsid w:val="009240EC"/>
    <w:rsid w:val="009E2EBB"/>
    <w:rsid w:val="009E6778"/>
    <w:rsid w:val="00A72900"/>
    <w:rsid w:val="00A74E90"/>
    <w:rsid w:val="00A95A4E"/>
    <w:rsid w:val="00B62BBA"/>
    <w:rsid w:val="00B86884"/>
    <w:rsid w:val="00BB7797"/>
    <w:rsid w:val="00BF4461"/>
    <w:rsid w:val="00C11F26"/>
    <w:rsid w:val="00C14261"/>
    <w:rsid w:val="00C14DDD"/>
    <w:rsid w:val="00C45E40"/>
    <w:rsid w:val="00D12121"/>
    <w:rsid w:val="00D41149"/>
    <w:rsid w:val="00D755A4"/>
    <w:rsid w:val="00DB4A4F"/>
    <w:rsid w:val="00E02ACD"/>
    <w:rsid w:val="00E37093"/>
    <w:rsid w:val="00EE3AB6"/>
    <w:rsid w:val="00F0194E"/>
    <w:rsid w:val="00FC2B81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E8"/>
  </w:style>
  <w:style w:type="paragraph" w:styleId="Heading1">
    <w:name w:val="heading 1"/>
    <w:basedOn w:val="Normal"/>
    <w:next w:val="Normal"/>
    <w:link w:val="Heading1Char"/>
    <w:uiPriority w:val="9"/>
    <w:qFormat/>
    <w:rsid w:val="00C14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4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72B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2BEF"/>
    <w:rPr>
      <w:color w:val="0093A1"/>
      <w:u w:val="single"/>
    </w:rPr>
  </w:style>
  <w:style w:type="paragraph" w:styleId="NormalWeb">
    <w:name w:val="Normal (Web)"/>
    <w:basedOn w:val="Normal"/>
    <w:uiPriority w:val="99"/>
    <w:semiHidden/>
    <w:unhideWhenUsed/>
    <w:rsid w:val="00172BEF"/>
    <w:pPr>
      <w:spacing w:after="24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ACD"/>
  </w:style>
  <w:style w:type="paragraph" w:styleId="Footer">
    <w:name w:val="footer"/>
    <w:basedOn w:val="Normal"/>
    <w:link w:val="FooterChar"/>
    <w:uiPriority w:val="99"/>
    <w:unhideWhenUsed/>
    <w:rsid w:val="00E0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College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Jennifer.Pharo</dc:creator>
  <cp:lastModifiedBy>Peter Marron</cp:lastModifiedBy>
  <cp:revision>2</cp:revision>
  <dcterms:created xsi:type="dcterms:W3CDTF">2017-01-12T08:57:00Z</dcterms:created>
  <dcterms:modified xsi:type="dcterms:W3CDTF">2017-01-12T08:57:00Z</dcterms:modified>
</cp:coreProperties>
</file>