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D516" w14:textId="65C7927D" w:rsidR="00D16268" w:rsidRPr="00E320AE" w:rsidRDefault="00D16268" w:rsidP="00D16268">
      <w:pPr>
        <w:rPr>
          <w:rFonts w:ascii="Verdana" w:hAnsi="Verdana" w:cs="Tahoma"/>
          <w:b/>
          <w:sz w:val="20"/>
          <w:szCs w:val="20"/>
        </w:rPr>
      </w:pPr>
      <w:bookmarkStart w:id="0" w:name="Data1"/>
      <w:r>
        <w:rPr>
          <w:rFonts w:ascii="Verdana" w:hAnsi="Verdana" w:cs="Tahoma"/>
          <w:b/>
          <w:sz w:val="20"/>
          <w:szCs w:val="20"/>
        </w:rPr>
        <w:t xml:space="preserve">Gender Pay Gap Reporting: </w:t>
      </w:r>
      <w:r w:rsidR="00541E8E">
        <w:rPr>
          <w:rFonts w:ascii="Verdana" w:hAnsi="Verdana" w:cs="Tahoma"/>
          <w:b/>
          <w:sz w:val="20"/>
          <w:szCs w:val="20"/>
        </w:rPr>
        <w:t>2021-22</w:t>
      </w:r>
    </w:p>
    <w:bookmarkEnd w:id="0"/>
    <w:p w14:paraId="62D2BBAD" w14:textId="0CF79723" w:rsidR="00D16268" w:rsidRDefault="00541E8E" w:rsidP="00541E8E">
      <w:pPr>
        <w:jc w:val="both"/>
        <w:rPr>
          <w:rFonts w:ascii="Verdana" w:hAnsi="Verdana" w:cs="Tahoma"/>
          <w:sz w:val="20"/>
          <w:szCs w:val="20"/>
        </w:rPr>
      </w:pPr>
      <w:r w:rsidRPr="00541E8E">
        <w:rPr>
          <w:rFonts w:ascii="Verdana" w:hAnsi="Verdana" w:cs="Tahoma"/>
          <w:sz w:val="20"/>
          <w:szCs w:val="20"/>
        </w:rPr>
        <w:t xml:space="preserve">Under the Gender Pay Gap Reporting Regulations, Farnborough College of Technology is required to publish information from its payroll of 396 staff in the year of reporting 2021-22. </w:t>
      </w:r>
      <w:r>
        <w:rPr>
          <w:rFonts w:ascii="Verdana" w:hAnsi="Verdana" w:cs="Tahoma"/>
          <w:sz w:val="20"/>
          <w:szCs w:val="20"/>
        </w:rPr>
        <w:t>T</w:t>
      </w:r>
      <w:r w:rsidRPr="00541E8E">
        <w:rPr>
          <w:rFonts w:ascii="Verdana" w:hAnsi="Verdana" w:cs="Tahoma"/>
          <w:sz w:val="20"/>
          <w:szCs w:val="20"/>
        </w:rPr>
        <w:t>he proportion of male and female staff were 131 (33.</w:t>
      </w:r>
      <w:r>
        <w:rPr>
          <w:rFonts w:ascii="Verdana" w:hAnsi="Verdana" w:cs="Tahoma"/>
          <w:sz w:val="20"/>
          <w:szCs w:val="20"/>
        </w:rPr>
        <w:t>1</w:t>
      </w:r>
      <w:r w:rsidRPr="00541E8E">
        <w:rPr>
          <w:rFonts w:ascii="Verdana" w:hAnsi="Verdana" w:cs="Tahoma"/>
          <w:sz w:val="20"/>
          <w:szCs w:val="20"/>
        </w:rPr>
        <w:t xml:space="preserve">%) and 265 (66.9%) respectively. </w:t>
      </w:r>
    </w:p>
    <w:p w14:paraId="14C36D50" w14:textId="4976BD54" w:rsidR="00D16268" w:rsidRPr="00EE536E" w:rsidRDefault="00D16268" w:rsidP="00D16268">
      <w:pPr>
        <w:jc w:val="both"/>
        <w:rPr>
          <w:rFonts w:ascii="Verdana" w:hAnsi="Verdana" w:cs="Tahoma"/>
          <w:sz w:val="20"/>
          <w:szCs w:val="20"/>
        </w:rPr>
      </w:pPr>
      <w:r w:rsidRPr="00EE536E">
        <w:rPr>
          <w:rFonts w:ascii="Verdana" w:hAnsi="Verdana" w:cs="Tahoma"/>
          <w:sz w:val="20"/>
          <w:szCs w:val="20"/>
        </w:rPr>
        <w:t>Our data</w:t>
      </w:r>
      <w:r>
        <w:rPr>
          <w:rFonts w:ascii="Verdana" w:hAnsi="Verdana" w:cs="Tahoma"/>
          <w:sz w:val="20"/>
          <w:szCs w:val="20"/>
        </w:rPr>
        <w:t xml:space="preserve"> </w:t>
      </w:r>
      <w:r w:rsidRPr="00EE536E">
        <w:rPr>
          <w:rFonts w:ascii="Verdana" w:hAnsi="Verdana" w:cs="Tahoma"/>
          <w:sz w:val="20"/>
          <w:szCs w:val="20"/>
        </w:rPr>
        <w:t>is as follows:</w:t>
      </w:r>
    </w:p>
    <w:tbl>
      <w:tblPr>
        <w:tblStyle w:val="TableGrid"/>
        <w:tblW w:w="8931" w:type="dxa"/>
        <w:tblInd w:w="-5" w:type="dxa"/>
        <w:tblLook w:val="04A0" w:firstRow="1" w:lastRow="0" w:firstColumn="1" w:lastColumn="0" w:noHBand="0" w:noVBand="1"/>
      </w:tblPr>
      <w:tblGrid>
        <w:gridCol w:w="7797"/>
        <w:gridCol w:w="1134"/>
      </w:tblGrid>
      <w:tr w:rsidR="00D16268" w:rsidRPr="00EE536E" w14:paraId="2998F8D8" w14:textId="77777777" w:rsidTr="00972903">
        <w:tc>
          <w:tcPr>
            <w:tcW w:w="7797" w:type="dxa"/>
            <w:tcBorders>
              <w:top w:val="single" w:sz="12" w:space="0" w:color="000000"/>
              <w:left w:val="single" w:sz="12" w:space="0" w:color="000000"/>
              <w:right w:val="single" w:sz="4" w:space="0" w:color="auto"/>
            </w:tcBorders>
          </w:tcPr>
          <w:p w14:paraId="284542B9" w14:textId="77777777" w:rsidR="00D16268" w:rsidRPr="00EE536E" w:rsidRDefault="00D16268" w:rsidP="00972903">
            <w:pPr>
              <w:rPr>
                <w:rFonts w:ascii="Verdana" w:hAnsi="Verdana"/>
                <w:b/>
                <w:sz w:val="20"/>
                <w:szCs w:val="20"/>
              </w:rPr>
            </w:pPr>
            <w:r w:rsidRPr="00EE536E">
              <w:rPr>
                <w:rFonts w:ascii="Verdana" w:hAnsi="Verdana"/>
                <w:b/>
                <w:sz w:val="20"/>
                <w:szCs w:val="20"/>
              </w:rPr>
              <w:t xml:space="preserve">The mean Gender Pay Gap </w:t>
            </w:r>
          </w:p>
          <w:p w14:paraId="041D7094" w14:textId="77777777" w:rsidR="00D16268" w:rsidRPr="00EE536E" w:rsidRDefault="00D16268" w:rsidP="00972903">
            <w:pPr>
              <w:rPr>
                <w:rFonts w:ascii="Verdana" w:hAnsi="Verdana"/>
                <w:b/>
                <w:sz w:val="20"/>
                <w:szCs w:val="20"/>
              </w:rPr>
            </w:pPr>
          </w:p>
        </w:tc>
        <w:tc>
          <w:tcPr>
            <w:tcW w:w="1134" w:type="dxa"/>
            <w:tcBorders>
              <w:top w:val="single" w:sz="12" w:space="0" w:color="000000"/>
              <w:left w:val="single" w:sz="4" w:space="0" w:color="auto"/>
              <w:right w:val="single" w:sz="12" w:space="0" w:color="000000"/>
            </w:tcBorders>
          </w:tcPr>
          <w:p w14:paraId="7874882C" w14:textId="7F40BB5F" w:rsidR="00D16268" w:rsidRPr="00EE536E" w:rsidRDefault="00541E8E" w:rsidP="00541E8E">
            <w:pPr>
              <w:jc w:val="center"/>
              <w:rPr>
                <w:rFonts w:ascii="Verdana" w:hAnsi="Verdana"/>
                <w:sz w:val="20"/>
                <w:szCs w:val="20"/>
              </w:rPr>
            </w:pPr>
            <w:r>
              <w:rPr>
                <w:rFonts w:ascii="Verdana" w:hAnsi="Verdana"/>
                <w:sz w:val="20"/>
                <w:szCs w:val="20"/>
              </w:rPr>
              <w:t>9.46%</w:t>
            </w:r>
          </w:p>
        </w:tc>
      </w:tr>
      <w:tr w:rsidR="00D16268" w:rsidRPr="00EE536E" w14:paraId="3D0AA3ED" w14:textId="77777777" w:rsidTr="00972903">
        <w:tc>
          <w:tcPr>
            <w:tcW w:w="7797" w:type="dxa"/>
            <w:tcBorders>
              <w:left w:val="single" w:sz="12" w:space="0" w:color="000000"/>
              <w:right w:val="single" w:sz="4" w:space="0" w:color="auto"/>
            </w:tcBorders>
          </w:tcPr>
          <w:p w14:paraId="6C8F4FDB" w14:textId="77777777" w:rsidR="00D16268" w:rsidRPr="00EE536E" w:rsidRDefault="00D16268" w:rsidP="00972903">
            <w:pPr>
              <w:rPr>
                <w:rFonts w:ascii="Verdana" w:hAnsi="Verdana"/>
                <w:b/>
                <w:sz w:val="20"/>
                <w:szCs w:val="20"/>
              </w:rPr>
            </w:pPr>
            <w:r w:rsidRPr="00EE536E">
              <w:rPr>
                <w:rFonts w:ascii="Verdana" w:hAnsi="Verdana"/>
                <w:b/>
                <w:sz w:val="20"/>
                <w:szCs w:val="20"/>
              </w:rPr>
              <w:t xml:space="preserve">The median Gender Pay Gap </w:t>
            </w:r>
          </w:p>
          <w:p w14:paraId="50F77925" w14:textId="77777777" w:rsidR="00D16268" w:rsidRPr="00EE536E" w:rsidRDefault="00D16268" w:rsidP="00972903">
            <w:pPr>
              <w:rPr>
                <w:rFonts w:ascii="Verdana" w:hAnsi="Verdana"/>
                <w:b/>
                <w:sz w:val="20"/>
                <w:szCs w:val="20"/>
              </w:rPr>
            </w:pPr>
          </w:p>
        </w:tc>
        <w:tc>
          <w:tcPr>
            <w:tcW w:w="1134" w:type="dxa"/>
            <w:tcBorders>
              <w:left w:val="single" w:sz="4" w:space="0" w:color="auto"/>
              <w:right w:val="single" w:sz="12" w:space="0" w:color="000000"/>
            </w:tcBorders>
          </w:tcPr>
          <w:p w14:paraId="40EF728F" w14:textId="0F1A6599" w:rsidR="00D16268" w:rsidRPr="00EE536E" w:rsidRDefault="00541E8E" w:rsidP="00541E8E">
            <w:pPr>
              <w:jc w:val="center"/>
              <w:rPr>
                <w:rFonts w:ascii="Verdana" w:hAnsi="Verdana"/>
                <w:sz w:val="20"/>
                <w:szCs w:val="20"/>
              </w:rPr>
            </w:pPr>
            <w:r>
              <w:rPr>
                <w:rFonts w:ascii="Verdana" w:hAnsi="Verdana"/>
                <w:sz w:val="20"/>
                <w:szCs w:val="20"/>
              </w:rPr>
              <w:t>8.86%</w:t>
            </w:r>
          </w:p>
        </w:tc>
      </w:tr>
      <w:tr w:rsidR="00D16268" w:rsidRPr="00EE536E" w14:paraId="079C175A" w14:textId="77777777" w:rsidTr="00972903">
        <w:tc>
          <w:tcPr>
            <w:tcW w:w="7797" w:type="dxa"/>
            <w:tcBorders>
              <w:left w:val="single" w:sz="12" w:space="0" w:color="000000"/>
              <w:right w:val="single" w:sz="4" w:space="0" w:color="auto"/>
            </w:tcBorders>
          </w:tcPr>
          <w:p w14:paraId="5C3F9BFB" w14:textId="77777777" w:rsidR="00D16268" w:rsidRPr="00EE536E" w:rsidRDefault="00D16268" w:rsidP="00972903">
            <w:pPr>
              <w:rPr>
                <w:rFonts w:ascii="Verdana" w:hAnsi="Verdana"/>
                <w:b/>
                <w:sz w:val="20"/>
                <w:szCs w:val="20"/>
              </w:rPr>
            </w:pPr>
            <w:r w:rsidRPr="00EE536E">
              <w:rPr>
                <w:rFonts w:ascii="Verdana" w:hAnsi="Verdana"/>
                <w:b/>
                <w:sz w:val="20"/>
                <w:szCs w:val="20"/>
              </w:rPr>
              <w:t xml:space="preserve">The mean bonus Gender Pay Gap </w:t>
            </w:r>
          </w:p>
          <w:p w14:paraId="0F4FC0B5" w14:textId="77777777" w:rsidR="00D16268" w:rsidRPr="00EE536E" w:rsidRDefault="00D16268" w:rsidP="00972903">
            <w:pPr>
              <w:rPr>
                <w:rFonts w:ascii="Verdana" w:hAnsi="Verdana"/>
                <w:b/>
                <w:sz w:val="20"/>
                <w:szCs w:val="20"/>
              </w:rPr>
            </w:pPr>
          </w:p>
        </w:tc>
        <w:tc>
          <w:tcPr>
            <w:tcW w:w="1134" w:type="dxa"/>
            <w:tcBorders>
              <w:left w:val="single" w:sz="4" w:space="0" w:color="auto"/>
              <w:right w:val="single" w:sz="12" w:space="0" w:color="000000"/>
            </w:tcBorders>
          </w:tcPr>
          <w:p w14:paraId="01A08F0A" w14:textId="4BAE8267" w:rsidR="00D16268" w:rsidRPr="00EE536E" w:rsidRDefault="00541E8E" w:rsidP="00541E8E">
            <w:pPr>
              <w:jc w:val="center"/>
              <w:rPr>
                <w:rFonts w:ascii="Verdana" w:hAnsi="Verdana"/>
                <w:sz w:val="20"/>
                <w:szCs w:val="20"/>
              </w:rPr>
            </w:pPr>
            <w:r>
              <w:rPr>
                <w:rFonts w:ascii="Verdana" w:hAnsi="Verdana"/>
                <w:sz w:val="20"/>
                <w:szCs w:val="20"/>
              </w:rPr>
              <w:t>19.61%</w:t>
            </w:r>
          </w:p>
        </w:tc>
      </w:tr>
      <w:tr w:rsidR="00D16268" w:rsidRPr="00EE536E" w14:paraId="2117721F" w14:textId="77777777" w:rsidTr="00972903">
        <w:tc>
          <w:tcPr>
            <w:tcW w:w="7797" w:type="dxa"/>
            <w:tcBorders>
              <w:left w:val="single" w:sz="12" w:space="0" w:color="000000"/>
              <w:right w:val="single" w:sz="4" w:space="0" w:color="auto"/>
            </w:tcBorders>
          </w:tcPr>
          <w:p w14:paraId="0A388B53" w14:textId="77777777" w:rsidR="00D16268" w:rsidRPr="00EE536E" w:rsidRDefault="00D16268" w:rsidP="00972903">
            <w:pPr>
              <w:rPr>
                <w:rFonts w:ascii="Verdana" w:hAnsi="Verdana"/>
                <w:b/>
                <w:sz w:val="20"/>
                <w:szCs w:val="20"/>
              </w:rPr>
            </w:pPr>
            <w:r w:rsidRPr="00EE536E">
              <w:rPr>
                <w:rFonts w:ascii="Verdana" w:hAnsi="Verdana"/>
                <w:b/>
                <w:sz w:val="20"/>
                <w:szCs w:val="20"/>
              </w:rPr>
              <w:t xml:space="preserve">The median bonus Gender Pay Gap </w:t>
            </w:r>
          </w:p>
          <w:p w14:paraId="3645B3E6" w14:textId="77777777" w:rsidR="00D16268" w:rsidRPr="00EE536E" w:rsidRDefault="00D16268" w:rsidP="00972903">
            <w:pPr>
              <w:rPr>
                <w:rFonts w:ascii="Verdana" w:hAnsi="Verdana"/>
                <w:b/>
                <w:sz w:val="20"/>
                <w:szCs w:val="20"/>
              </w:rPr>
            </w:pPr>
          </w:p>
        </w:tc>
        <w:tc>
          <w:tcPr>
            <w:tcW w:w="1134" w:type="dxa"/>
            <w:tcBorders>
              <w:left w:val="single" w:sz="4" w:space="0" w:color="auto"/>
              <w:right w:val="single" w:sz="12" w:space="0" w:color="000000"/>
            </w:tcBorders>
          </w:tcPr>
          <w:p w14:paraId="2B135E5A" w14:textId="31C63AE1" w:rsidR="00D16268" w:rsidRPr="00EE536E" w:rsidRDefault="00541E8E" w:rsidP="00541E8E">
            <w:pPr>
              <w:jc w:val="center"/>
              <w:rPr>
                <w:rFonts w:ascii="Verdana" w:hAnsi="Verdana"/>
                <w:sz w:val="20"/>
                <w:szCs w:val="20"/>
              </w:rPr>
            </w:pPr>
            <w:r>
              <w:rPr>
                <w:rFonts w:ascii="Verdana" w:hAnsi="Verdana"/>
                <w:sz w:val="20"/>
                <w:szCs w:val="20"/>
              </w:rPr>
              <w:t>50%</w:t>
            </w:r>
          </w:p>
        </w:tc>
      </w:tr>
      <w:tr w:rsidR="00D16268" w:rsidRPr="00EE536E" w14:paraId="2BE72942" w14:textId="77777777" w:rsidTr="00972903">
        <w:tc>
          <w:tcPr>
            <w:tcW w:w="7797" w:type="dxa"/>
            <w:tcBorders>
              <w:left w:val="single" w:sz="12" w:space="0" w:color="000000"/>
              <w:right w:val="single" w:sz="4" w:space="0" w:color="auto"/>
            </w:tcBorders>
          </w:tcPr>
          <w:p w14:paraId="1B81D76C" w14:textId="77777777" w:rsidR="00D16268" w:rsidRPr="00EE536E" w:rsidRDefault="00D16268" w:rsidP="00972903">
            <w:pPr>
              <w:ind w:left="30"/>
              <w:rPr>
                <w:rFonts w:ascii="Verdana" w:hAnsi="Verdana"/>
                <w:b/>
                <w:sz w:val="20"/>
                <w:szCs w:val="20"/>
              </w:rPr>
            </w:pPr>
            <w:r w:rsidRPr="00EE536E">
              <w:rPr>
                <w:rFonts w:ascii="Verdana" w:hAnsi="Verdana"/>
                <w:b/>
                <w:sz w:val="20"/>
                <w:szCs w:val="20"/>
              </w:rPr>
              <w:t>The proportion of employees receiving a bonus (men)</w:t>
            </w:r>
          </w:p>
          <w:p w14:paraId="5F31FAA3" w14:textId="77777777" w:rsidR="00D16268" w:rsidRPr="00EE536E" w:rsidRDefault="00D16268" w:rsidP="00972903">
            <w:pPr>
              <w:ind w:left="30"/>
              <w:rPr>
                <w:rFonts w:ascii="Verdana" w:hAnsi="Verdana"/>
                <w:b/>
                <w:sz w:val="20"/>
                <w:szCs w:val="20"/>
              </w:rPr>
            </w:pPr>
          </w:p>
        </w:tc>
        <w:tc>
          <w:tcPr>
            <w:tcW w:w="1134" w:type="dxa"/>
            <w:tcBorders>
              <w:left w:val="single" w:sz="4" w:space="0" w:color="auto"/>
              <w:right w:val="single" w:sz="12" w:space="0" w:color="000000"/>
            </w:tcBorders>
          </w:tcPr>
          <w:p w14:paraId="1B692618" w14:textId="7844079F" w:rsidR="00D16268" w:rsidRPr="00EE536E" w:rsidRDefault="00541E8E" w:rsidP="00541E8E">
            <w:pPr>
              <w:ind w:left="-262"/>
              <w:jc w:val="center"/>
              <w:rPr>
                <w:rFonts w:ascii="Verdana" w:hAnsi="Verdana"/>
                <w:sz w:val="20"/>
                <w:szCs w:val="20"/>
              </w:rPr>
            </w:pPr>
            <w:r>
              <w:rPr>
                <w:rFonts w:ascii="Verdana" w:hAnsi="Verdana"/>
                <w:sz w:val="20"/>
                <w:szCs w:val="20"/>
              </w:rPr>
              <w:t xml:space="preserve">    68.18%</w:t>
            </w:r>
          </w:p>
        </w:tc>
      </w:tr>
      <w:tr w:rsidR="00D16268" w:rsidRPr="00EE536E" w14:paraId="3713E8B0" w14:textId="77777777" w:rsidTr="00972903">
        <w:tc>
          <w:tcPr>
            <w:tcW w:w="7797" w:type="dxa"/>
            <w:tcBorders>
              <w:left w:val="single" w:sz="12" w:space="0" w:color="000000"/>
              <w:bottom w:val="single" w:sz="12" w:space="0" w:color="000000"/>
              <w:right w:val="single" w:sz="4" w:space="0" w:color="auto"/>
            </w:tcBorders>
          </w:tcPr>
          <w:p w14:paraId="5E2687D7" w14:textId="5267BB26" w:rsidR="00D16268" w:rsidRPr="00EE536E" w:rsidRDefault="00D16268" w:rsidP="00972903">
            <w:pPr>
              <w:ind w:left="30"/>
              <w:rPr>
                <w:rFonts w:ascii="Verdana" w:hAnsi="Verdana"/>
                <w:b/>
                <w:sz w:val="20"/>
                <w:szCs w:val="20"/>
              </w:rPr>
            </w:pPr>
            <w:r w:rsidRPr="00EE536E">
              <w:rPr>
                <w:rFonts w:ascii="Verdana" w:hAnsi="Verdana"/>
                <w:b/>
                <w:sz w:val="20"/>
                <w:szCs w:val="20"/>
              </w:rPr>
              <w:t>The proportion of employees receiving a bonus (women)</w:t>
            </w:r>
            <w:r w:rsidR="00541E8E">
              <w:rPr>
                <w:rFonts w:ascii="Verdana" w:hAnsi="Verdana"/>
                <w:b/>
                <w:sz w:val="20"/>
                <w:szCs w:val="20"/>
              </w:rPr>
              <w:t xml:space="preserve"> </w:t>
            </w:r>
          </w:p>
          <w:p w14:paraId="07362C29" w14:textId="77777777" w:rsidR="00D16268" w:rsidRPr="00EE536E" w:rsidRDefault="00D16268" w:rsidP="00972903">
            <w:pPr>
              <w:ind w:left="30"/>
              <w:rPr>
                <w:rFonts w:ascii="Verdana" w:hAnsi="Verdana"/>
                <w:b/>
                <w:sz w:val="20"/>
                <w:szCs w:val="20"/>
              </w:rPr>
            </w:pPr>
          </w:p>
        </w:tc>
        <w:tc>
          <w:tcPr>
            <w:tcW w:w="1134" w:type="dxa"/>
            <w:tcBorders>
              <w:left w:val="single" w:sz="4" w:space="0" w:color="auto"/>
              <w:bottom w:val="single" w:sz="12" w:space="0" w:color="000000"/>
              <w:right w:val="single" w:sz="12" w:space="0" w:color="000000"/>
            </w:tcBorders>
          </w:tcPr>
          <w:p w14:paraId="4448C755" w14:textId="3BDE138D" w:rsidR="00D16268" w:rsidRPr="00EE536E" w:rsidRDefault="00541E8E" w:rsidP="00541E8E">
            <w:pPr>
              <w:ind w:left="-262"/>
              <w:jc w:val="center"/>
              <w:rPr>
                <w:rFonts w:ascii="Verdana" w:hAnsi="Verdana"/>
                <w:sz w:val="20"/>
                <w:szCs w:val="20"/>
              </w:rPr>
            </w:pPr>
            <w:r>
              <w:rPr>
                <w:rFonts w:ascii="Verdana" w:hAnsi="Verdana"/>
                <w:sz w:val="20"/>
                <w:szCs w:val="20"/>
              </w:rPr>
              <w:t xml:space="preserve">    70.48%</w:t>
            </w:r>
          </w:p>
        </w:tc>
      </w:tr>
    </w:tbl>
    <w:p w14:paraId="374D17E2" w14:textId="77777777" w:rsidR="00D16268" w:rsidRDefault="00D16268"/>
    <w:p w14:paraId="5F5424BF" w14:textId="706394B7" w:rsidR="00D16268" w:rsidRDefault="00D16268">
      <w:r>
        <w:t>The proportion oof males and females in each quartile band:</w:t>
      </w:r>
    </w:p>
    <w:tbl>
      <w:tblPr>
        <w:tblStyle w:val="TableGrid"/>
        <w:tblW w:w="8931" w:type="dxa"/>
        <w:tblInd w:w="-5" w:type="dxa"/>
        <w:tblLook w:val="04A0" w:firstRow="1" w:lastRow="0" w:firstColumn="1" w:lastColumn="0" w:noHBand="0" w:noVBand="1"/>
      </w:tblPr>
      <w:tblGrid>
        <w:gridCol w:w="2977"/>
        <w:gridCol w:w="1843"/>
        <w:gridCol w:w="1134"/>
        <w:gridCol w:w="1843"/>
        <w:gridCol w:w="1134"/>
      </w:tblGrid>
      <w:tr w:rsidR="00D16268" w:rsidRPr="00EE536E" w14:paraId="3EC54DEF" w14:textId="77777777" w:rsidTr="00972903">
        <w:tc>
          <w:tcPr>
            <w:tcW w:w="2977" w:type="dxa"/>
            <w:tcBorders>
              <w:top w:val="single" w:sz="12" w:space="0" w:color="000000"/>
              <w:left w:val="single" w:sz="12" w:space="0" w:color="000000"/>
              <w:right w:val="single" w:sz="4" w:space="0" w:color="auto"/>
            </w:tcBorders>
          </w:tcPr>
          <w:p w14:paraId="464951B2" w14:textId="77777777" w:rsidR="00D16268" w:rsidRPr="00EE536E" w:rsidRDefault="00D16268" w:rsidP="00972903">
            <w:pPr>
              <w:rPr>
                <w:rFonts w:ascii="Verdana" w:hAnsi="Verdana"/>
                <w:b/>
                <w:sz w:val="20"/>
                <w:szCs w:val="20"/>
              </w:rPr>
            </w:pPr>
            <w:r w:rsidRPr="00EE536E">
              <w:rPr>
                <w:rFonts w:ascii="Verdana" w:hAnsi="Verdana"/>
                <w:b/>
                <w:sz w:val="20"/>
                <w:szCs w:val="20"/>
              </w:rPr>
              <w:t>Upper quartile</w:t>
            </w:r>
          </w:p>
          <w:p w14:paraId="05CFF4B5" w14:textId="77777777" w:rsidR="00D16268" w:rsidRPr="00EE536E" w:rsidRDefault="00D16268" w:rsidP="00972903">
            <w:pPr>
              <w:rPr>
                <w:rFonts w:ascii="Verdana" w:hAnsi="Verdana"/>
                <w:b/>
                <w:sz w:val="20"/>
                <w:szCs w:val="20"/>
              </w:rPr>
            </w:pPr>
          </w:p>
        </w:tc>
        <w:tc>
          <w:tcPr>
            <w:tcW w:w="1843" w:type="dxa"/>
            <w:tcBorders>
              <w:top w:val="single" w:sz="12" w:space="0" w:color="000000"/>
              <w:left w:val="single" w:sz="4" w:space="0" w:color="auto"/>
              <w:right w:val="single" w:sz="4" w:space="0" w:color="000000"/>
            </w:tcBorders>
          </w:tcPr>
          <w:p w14:paraId="15EB6B78" w14:textId="77777777" w:rsidR="00D16268" w:rsidRPr="00EE536E" w:rsidRDefault="00D16268" w:rsidP="00972903">
            <w:pPr>
              <w:rPr>
                <w:rFonts w:ascii="Verdana" w:hAnsi="Verdana"/>
                <w:sz w:val="20"/>
                <w:szCs w:val="20"/>
              </w:rPr>
            </w:pPr>
            <w:r w:rsidRPr="00EE536E">
              <w:rPr>
                <w:rFonts w:ascii="Verdana" w:hAnsi="Verdana"/>
                <w:sz w:val="20"/>
                <w:szCs w:val="20"/>
              </w:rPr>
              <w:t>Men</w:t>
            </w:r>
          </w:p>
        </w:tc>
        <w:tc>
          <w:tcPr>
            <w:tcW w:w="1134" w:type="dxa"/>
            <w:tcBorders>
              <w:top w:val="single" w:sz="12" w:space="0" w:color="000000"/>
              <w:left w:val="single" w:sz="4" w:space="0" w:color="000000"/>
              <w:right w:val="single" w:sz="4" w:space="0" w:color="auto"/>
            </w:tcBorders>
          </w:tcPr>
          <w:p w14:paraId="0386986A" w14:textId="089675C8" w:rsidR="00D16268" w:rsidRPr="00EE536E" w:rsidRDefault="00D16268" w:rsidP="00972903">
            <w:pPr>
              <w:rPr>
                <w:rFonts w:ascii="Verdana" w:hAnsi="Verdana"/>
                <w:sz w:val="20"/>
                <w:szCs w:val="20"/>
              </w:rPr>
            </w:pPr>
            <w:r w:rsidRPr="00EE536E">
              <w:rPr>
                <w:rFonts w:ascii="Verdana" w:hAnsi="Verdana"/>
                <w:sz w:val="20"/>
                <w:szCs w:val="20"/>
              </w:rPr>
              <w:t xml:space="preserve">  </w:t>
            </w:r>
            <w:r w:rsidR="00541E8E">
              <w:rPr>
                <w:rFonts w:ascii="Verdana" w:hAnsi="Verdana"/>
                <w:sz w:val="20"/>
                <w:szCs w:val="20"/>
              </w:rPr>
              <w:t>42.4</w:t>
            </w:r>
            <w:r w:rsidRPr="00EE536E">
              <w:rPr>
                <w:rFonts w:ascii="Verdana" w:hAnsi="Verdana"/>
                <w:sz w:val="20"/>
                <w:szCs w:val="20"/>
              </w:rPr>
              <w:t>%</w:t>
            </w:r>
          </w:p>
        </w:tc>
        <w:tc>
          <w:tcPr>
            <w:tcW w:w="1843" w:type="dxa"/>
            <w:tcBorders>
              <w:top w:val="single" w:sz="12" w:space="0" w:color="000000"/>
              <w:left w:val="single" w:sz="4" w:space="0" w:color="auto"/>
            </w:tcBorders>
          </w:tcPr>
          <w:p w14:paraId="5D91C85D" w14:textId="77777777" w:rsidR="00D16268" w:rsidRPr="00EE536E" w:rsidRDefault="00D16268" w:rsidP="00972903">
            <w:pPr>
              <w:rPr>
                <w:rFonts w:ascii="Verdana" w:hAnsi="Verdana"/>
                <w:sz w:val="20"/>
                <w:szCs w:val="20"/>
              </w:rPr>
            </w:pPr>
            <w:r w:rsidRPr="00EE536E">
              <w:rPr>
                <w:rFonts w:ascii="Verdana" w:hAnsi="Verdana"/>
                <w:sz w:val="20"/>
                <w:szCs w:val="20"/>
              </w:rPr>
              <w:t>Women</w:t>
            </w:r>
          </w:p>
        </w:tc>
        <w:tc>
          <w:tcPr>
            <w:tcW w:w="1134" w:type="dxa"/>
            <w:tcBorders>
              <w:top w:val="single" w:sz="12" w:space="0" w:color="000000"/>
              <w:right w:val="single" w:sz="12" w:space="0" w:color="000000"/>
            </w:tcBorders>
          </w:tcPr>
          <w:p w14:paraId="3CC077EB" w14:textId="66C529E7" w:rsidR="00D16268" w:rsidRPr="00EE536E" w:rsidRDefault="00D16268" w:rsidP="00972903">
            <w:pPr>
              <w:rPr>
                <w:rFonts w:ascii="Verdana" w:hAnsi="Verdana"/>
                <w:sz w:val="20"/>
                <w:szCs w:val="20"/>
              </w:rPr>
            </w:pPr>
            <w:r w:rsidRPr="00EE536E">
              <w:rPr>
                <w:rFonts w:ascii="Verdana" w:hAnsi="Verdana"/>
                <w:sz w:val="20"/>
                <w:szCs w:val="20"/>
              </w:rPr>
              <w:t xml:space="preserve">  5</w:t>
            </w:r>
            <w:r w:rsidR="00541E8E">
              <w:rPr>
                <w:rFonts w:ascii="Verdana" w:hAnsi="Verdana"/>
                <w:sz w:val="20"/>
                <w:szCs w:val="20"/>
              </w:rPr>
              <w:t>7.6</w:t>
            </w:r>
            <w:r w:rsidRPr="00EE536E">
              <w:rPr>
                <w:rFonts w:ascii="Verdana" w:hAnsi="Verdana"/>
                <w:sz w:val="20"/>
                <w:szCs w:val="20"/>
              </w:rPr>
              <w:t>%</w:t>
            </w:r>
          </w:p>
        </w:tc>
      </w:tr>
      <w:tr w:rsidR="00D16268" w:rsidRPr="00EE536E" w14:paraId="620CA111" w14:textId="77777777" w:rsidTr="00972903">
        <w:tc>
          <w:tcPr>
            <w:tcW w:w="2977" w:type="dxa"/>
            <w:tcBorders>
              <w:left w:val="single" w:sz="12" w:space="0" w:color="000000"/>
              <w:right w:val="single" w:sz="4" w:space="0" w:color="auto"/>
            </w:tcBorders>
          </w:tcPr>
          <w:p w14:paraId="324BA251" w14:textId="77777777" w:rsidR="00D16268" w:rsidRPr="00EE536E" w:rsidRDefault="00D16268" w:rsidP="00972903">
            <w:pPr>
              <w:rPr>
                <w:rFonts w:ascii="Verdana" w:hAnsi="Verdana"/>
                <w:b/>
                <w:sz w:val="20"/>
                <w:szCs w:val="20"/>
              </w:rPr>
            </w:pPr>
            <w:r w:rsidRPr="00EE536E">
              <w:rPr>
                <w:rFonts w:ascii="Verdana" w:hAnsi="Verdana"/>
                <w:b/>
                <w:sz w:val="20"/>
                <w:szCs w:val="20"/>
              </w:rPr>
              <w:t>Upper middle quartile</w:t>
            </w:r>
          </w:p>
          <w:p w14:paraId="1A9EC4C3" w14:textId="77777777" w:rsidR="00D16268" w:rsidRPr="00EE536E" w:rsidRDefault="00D16268" w:rsidP="00972903">
            <w:pPr>
              <w:rPr>
                <w:rFonts w:ascii="Verdana" w:hAnsi="Verdana"/>
                <w:b/>
                <w:sz w:val="20"/>
                <w:szCs w:val="20"/>
              </w:rPr>
            </w:pPr>
          </w:p>
        </w:tc>
        <w:tc>
          <w:tcPr>
            <w:tcW w:w="1843" w:type="dxa"/>
            <w:tcBorders>
              <w:left w:val="single" w:sz="4" w:space="0" w:color="auto"/>
              <w:right w:val="single" w:sz="4" w:space="0" w:color="000000"/>
            </w:tcBorders>
          </w:tcPr>
          <w:p w14:paraId="57EF1D51" w14:textId="77777777" w:rsidR="00D16268" w:rsidRPr="00EE536E" w:rsidRDefault="00D16268" w:rsidP="00972903">
            <w:pPr>
              <w:rPr>
                <w:rFonts w:ascii="Verdana" w:hAnsi="Verdana"/>
                <w:sz w:val="20"/>
                <w:szCs w:val="20"/>
              </w:rPr>
            </w:pPr>
            <w:r w:rsidRPr="00EE536E">
              <w:rPr>
                <w:rFonts w:ascii="Verdana" w:hAnsi="Verdana"/>
                <w:sz w:val="20"/>
                <w:szCs w:val="20"/>
              </w:rPr>
              <w:t>Men</w:t>
            </w:r>
          </w:p>
        </w:tc>
        <w:tc>
          <w:tcPr>
            <w:tcW w:w="1134" w:type="dxa"/>
            <w:tcBorders>
              <w:left w:val="single" w:sz="4" w:space="0" w:color="000000"/>
              <w:right w:val="single" w:sz="4" w:space="0" w:color="auto"/>
            </w:tcBorders>
          </w:tcPr>
          <w:p w14:paraId="0B449A46" w14:textId="01D92D4A" w:rsidR="00D16268" w:rsidRPr="00EE536E" w:rsidRDefault="00D16268" w:rsidP="00972903">
            <w:pPr>
              <w:rPr>
                <w:rFonts w:ascii="Verdana" w:hAnsi="Verdana"/>
                <w:sz w:val="20"/>
                <w:szCs w:val="20"/>
              </w:rPr>
            </w:pPr>
            <w:r w:rsidRPr="00EE536E">
              <w:rPr>
                <w:rFonts w:ascii="Verdana" w:hAnsi="Verdana"/>
                <w:sz w:val="20"/>
                <w:szCs w:val="20"/>
              </w:rPr>
              <w:t xml:space="preserve">  3</w:t>
            </w:r>
            <w:r w:rsidR="00541E8E">
              <w:rPr>
                <w:rFonts w:ascii="Verdana" w:hAnsi="Verdana"/>
                <w:sz w:val="20"/>
                <w:szCs w:val="20"/>
              </w:rPr>
              <w:t>4.3</w:t>
            </w:r>
            <w:r w:rsidRPr="00EE536E">
              <w:rPr>
                <w:rFonts w:ascii="Verdana" w:hAnsi="Verdana"/>
                <w:sz w:val="20"/>
                <w:szCs w:val="20"/>
              </w:rPr>
              <w:t>%</w:t>
            </w:r>
          </w:p>
        </w:tc>
        <w:tc>
          <w:tcPr>
            <w:tcW w:w="1843" w:type="dxa"/>
            <w:tcBorders>
              <w:left w:val="single" w:sz="4" w:space="0" w:color="auto"/>
            </w:tcBorders>
          </w:tcPr>
          <w:p w14:paraId="61DF2DD8" w14:textId="77777777" w:rsidR="00D16268" w:rsidRPr="00EE536E" w:rsidRDefault="00D16268" w:rsidP="00972903">
            <w:pPr>
              <w:rPr>
                <w:rFonts w:ascii="Verdana" w:hAnsi="Verdana"/>
                <w:sz w:val="20"/>
                <w:szCs w:val="20"/>
              </w:rPr>
            </w:pPr>
            <w:r w:rsidRPr="00EE536E">
              <w:rPr>
                <w:rFonts w:ascii="Verdana" w:hAnsi="Verdana"/>
                <w:sz w:val="20"/>
                <w:szCs w:val="20"/>
              </w:rPr>
              <w:t>Women</w:t>
            </w:r>
          </w:p>
        </w:tc>
        <w:tc>
          <w:tcPr>
            <w:tcW w:w="1134" w:type="dxa"/>
            <w:tcBorders>
              <w:right w:val="single" w:sz="12" w:space="0" w:color="000000"/>
            </w:tcBorders>
          </w:tcPr>
          <w:p w14:paraId="49EE9D12" w14:textId="3992435D" w:rsidR="00D16268" w:rsidRPr="00EE536E" w:rsidRDefault="00D16268" w:rsidP="00972903">
            <w:pPr>
              <w:rPr>
                <w:rFonts w:ascii="Verdana" w:hAnsi="Verdana"/>
                <w:sz w:val="20"/>
                <w:szCs w:val="20"/>
              </w:rPr>
            </w:pPr>
            <w:r w:rsidRPr="00EE536E">
              <w:rPr>
                <w:rFonts w:ascii="Verdana" w:hAnsi="Verdana"/>
                <w:sz w:val="20"/>
                <w:szCs w:val="20"/>
              </w:rPr>
              <w:t xml:space="preserve">  6</w:t>
            </w:r>
            <w:r w:rsidR="00541E8E">
              <w:rPr>
                <w:rFonts w:ascii="Verdana" w:hAnsi="Verdana"/>
                <w:sz w:val="20"/>
                <w:szCs w:val="20"/>
              </w:rPr>
              <w:t>5.7</w:t>
            </w:r>
            <w:r w:rsidRPr="00EE536E">
              <w:rPr>
                <w:rFonts w:ascii="Verdana" w:hAnsi="Verdana"/>
                <w:sz w:val="20"/>
                <w:szCs w:val="20"/>
              </w:rPr>
              <w:t>%</w:t>
            </w:r>
          </w:p>
        </w:tc>
      </w:tr>
      <w:tr w:rsidR="00D16268" w:rsidRPr="00EE536E" w14:paraId="3E1EBD5E" w14:textId="77777777" w:rsidTr="00972903">
        <w:tc>
          <w:tcPr>
            <w:tcW w:w="2977" w:type="dxa"/>
            <w:tcBorders>
              <w:left w:val="single" w:sz="12" w:space="0" w:color="000000"/>
              <w:right w:val="single" w:sz="4" w:space="0" w:color="auto"/>
            </w:tcBorders>
          </w:tcPr>
          <w:p w14:paraId="198BE7BD" w14:textId="77777777" w:rsidR="00D16268" w:rsidRPr="00EE536E" w:rsidRDefault="00D16268" w:rsidP="00972903">
            <w:pPr>
              <w:rPr>
                <w:rFonts w:ascii="Verdana" w:hAnsi="Verdana"/>
                <w:b/>
                <w:sz w:val="20"/>
                <w:szCs w:val="20"/>
              </w:rPr>
            </w:pPr>
            <w:r w:rsidRPr="00EE536E">
              <w:rPr>
                <w:rFonts w:ascii="Verdana" w:hAnsi="Verdana"/>
                <w:b/>
                <w:sz w:val="20"/>
                <w:szCs w:val="20"/>
              </w:rPr>
              <w:t>Lower middle quartile</w:t>
            </w:r>
          </w:p>
          <w:p w14:paraId="2745F9FB" w14:textId="77777777" w:rsidR="00D16268" w:rsidRPr="00EE536E" w:rsidRDefault="00D16268" w:rsidP="00972903">
            <w:pPr>
              <w:rPr>
                <w:rFonts w:ascii="Verdana" w:hAnsi="Verdana"/>
                <w:b/>
                <w:sz w:val="20"/>
                <w:szCs w:val="20"/>
              </w:rPr>
            </w:pPr>
          </w:p>
        </w:tc>
        <w:tc>
          <w:tcPr>
            <w:tcW w:w="1843" w:type="dxa"/>
            <w:tcBorders>
              <w:left w:val="single" w:sz="4" w:space="0" w:color="auto"/>
              <w:right w:val="single" w:sz="4" w:space="0" w:color="000000"/>
            </w:tcBorders>
          </w:tcPr>
          <w:p w14:paraId="4293CE20" w14:textId="77777777" w:rsidR="00D16268" w:rsidRPr="00EE536E" w:rsidRDefault="00D16268" w:rsidP="00972903">
            <w:pPr>
              <w:rPr>
                <w:rFonts w:ascii="Verdana" w:hAnsi="Verdana"/>
                <w:sz w:val="20"/>
                <w:szCs w:val="20"/>
              </w:rPr>
            </w:pPr>
            <w:r w:rsidRPr="00EE536E">
              <w:rPr>
                <w:rFonts w:ascii="Verdana" w:hAnsi="Verdana"/>
                <w:sz w:val="20"/>
                <w:szCs w:val="20"/>
              </w:rPr>
              <w:t>Men</w:t>
            </w:r>
          </w:p>
        </w:tc>
        <w:tc>
          <w:tcPr>
            <w:tcW w:w="1134" w:type="dxa"/>
            <w:tcBorders>
              <w:left w:val="single" w:sz="4" w:space="0" w:color="000000"/>
              <w:right w:val="single" w:sz="4" w:space="0" w:color="auto"/>
            </w:tcBorders>
          </w:tcPr>
          <w:p w14:paraId="3B578774" w14:textId="1058582D" w:rsidR="00D16268" w:rsidRPr="00EE536E" w:rsidRDefault="00D16268" w:rsidP="00972903">
            <w:pPr>
              <w:rPr>
                <w:rFonts w:ascii="Verdana" w:hAnsi="Verdana"/>
                <w:sz w:val="20"/>
                <w:szCs w:val="20"/>
              </w:rPr>
            </w:pPr>
            <w:r w:rsidRPr="00EE536E">
              <w:rPr>
                <w:rFonts w:ascii="Verdana" w:hAnsi="Verdana"/>
                <w:sz w:val="20"/>
                <w:szCs w:val="20"/>
              </w:rPr>
              <w:t xml:space="preserve">  3</w:t>
            </w:r>
            <w:r w:rsidR="00541E8E">
              <w:rPr>
                <w:rFonts w:ascii="Verdana" w:hAnsi="Verdana"/>
                <w:sz w:val="20"/>
                <w:szCs w:val="20"/>
              </w:rPr>
              <w:t>5.4</w:t>
            </w:r>
            <w:r w:rsidRPr="00EE536E">
              <w:rPr>
                <w:rFonts w:ascii="Verdana" w:hAnsi="Verdana"/>
                <w:sz w:val="20"/>
                <w:szCs w:val="20"/>
              </w:rPr>
              <w:t>%</w:t>
            </w:r>
          </w:p>
        </w:tc>
        <w:tc>
          <w:tcPr>
            <w:tcW w:w="1843" w:type="dxa"/>
            <w:tcBorders>
              <w:left w:val="single" w:sz="4" w:space="0" w:color="auto"/>
            </w:tcBorders>
          </w:tcPr>
          <w:p w14:paraId="27F44136" w14:textId="77777777" w:rsidR="00D16268" w:rsidRPr="00EE536E" w:rsidRDefault="00D16268" w:rsidP="00972903">
            <w:pPr>
              <w:rPr>
                <w:rFonts w:ascii="Verdana" w:hAnsi="Verdana"/>
                <w:sz w:val="20"/>
                <w:szCs w:val="20"/>
              </w:rPr>
            </w:pPr>
            <w:r w:rsidRPr="00EE536E">
              <w:rPr>
                <w:rFonts w:ascii="Verdana" w:hAnsi="Verdana"/>
                <w:sz w:val="20"/>
                <w:szCs w:val="20"/>
              </w:rPr>
              <w:t>Women</w:t>
            </w:r>
          </w:p>
        </w:tc>
        <w:tc>
          <w:tcPr>
            <w:tcW w:w="1134" w:type="dxa"/>
            <w:tcBorders>
              <w:right w:val="single" w:sz="12" w:space="0" w:color="000000"/>
            </w:tcBorders>
          </w:tcPr>
          <w:p w14:paraId="607686D0" w14:textId="5C613241" w:rsidR="00D16268" w:rsidRPr="00EE536E" w:rsidRDefault="00D16268" w:rsidP="00972903">
            <w:pPr>
              <w:rPr>
                <w:rFonts w:ascii="Verdana" w:hAnsi="Verdana"/>
                <w:sz w:val="20"/>
                <w:szCs w:val="20"/>
              </w:rPr>
            </w:pPr>
            <w:r w:rsidRPr="00EE536E">
              <w:rPr>
                <w:rFonts w:ascii="Verdana" w:hAnsi="Verdana"/>
                <w:sz w:val="20"/>
                <w:szCs w:val="20"/>
              </w:rPr>
              <w:t xml:space="preserve">  6</w:t>
            </w:r>
            <w:r w:rsidR="00541E8E">
              <w:rPr>
                <w:rFonts w:ascii="Verdana" w:hAnsi="Verdana"/>
                <w:sz w:val="20"/>
                <w:szCs w:val="20"/>
              </w:rPr>
              <w:t>4.6</w:t>
            </w:r>
            <w:r w:rsidRPr="00EE536E">
              <w:rPr>
                <w:rFonts w:ascii="Verdana" w:hAnsi="Verdana"/>
                <w:sz w:val="20"/>
                <w:szCs w:val="20"/>
              </w:rPr>
              <w:t>%</w:t>
            </w:r>
          </w:p>
        </w:tc>
      </w:tr>
      <w:tr w:rsidR="00D16268" w:rsidRPr="00EE536E" w14:paraId="0F0C1E98" w14:textId="77777777" w:rsidTr="00972903">
        <w:tc>
          <w:tcPr>
            <w:tcW w:w="2977" w:type="dxa"/>
            <w:tcBorders>
              <w:left w:val="single" w:sz="12" w:space="0" w:color="000000"/>
              <w:bottom w:val="single" w:sz="12" w:space="0" w:color="000000"/>
              <w:right w:val="single" w:sz="4" w:space="0" w:color="auto"/>
            </w:tcBorders>
          </w:tcPr>
          <w:p w14:paraId="3C5396E4" w14:textId="77777777" w:rsidR="00D16268" w:rsidRPr="00EE536E" w:rsidRDefault="00D16268" w:rsidP="00972903">
            <w:pPr>
              <w:rPr>
                <w:rFonts w:ascii="Verdana" w:hAnsi="Verdana"/>
                <w:b/>
                <w:sz w:val="20"/>
                <w:szCs w:val="20"/>
              </w:rPr>
            </w:pPr>
            <w:r w:rsidRPr="00EE536E">
              <w:rPr>
                <w:rFonts w:ascii="Verdana" w:hAnsi="Verdana"/>
                <w:b/>
                <w:sz w:val="20"/>
                <w:szCs w:val="20"/>
              </w:rPr>
              <w:t>Lower quartile</w:t>
            </w:r>
          </w:p>
          <w:p w14:paraId="6DD07733" w14:textId="77777777" w:rsidR="00D16268" w:rsidRPr="00EE536E" w:rsidRDefault="00D16268" w:rsidP="00972903">
            <w:pPr>
              <w:rPr>
                <w:rFonts w:ascii="Verdana" w:hAnsi="Verdana"/>
                <w:b/>
                <w:sz w:val="20"/>
                <w:szCs w:val="20"/>
              </w:rPr>
            </w:pPr>
          </w:p>
        </w:tc>
        <w:tc>
          <w:tcPr>
            <w:tcW w:w="1843" w:type="dxa"/>
            <w:tcBorders>
              <w:left w:val="single" w:sz="4" w:space="0" w:color="auto"/>
              <w:bottom w:val="single" w:sz="12" w:space="0" w:color="000000"/>
              <w:right w:val="single" w:sz="4" w:space="0" w:color="000000"/>
            </w:tcBorders>
          </w:tcPr>
          <w:p w14:paraId="7179DF94" w14:textId="77777777" w:rsidR="00D16268" w:rsidRPr="00EE536E" w:rsidRDefault="00D16268" w:rsidP="00972903">
            <w:pPr>
              <w:rPr>
                <w:rFonts w:ascii="Verdana" w:hAnsi="Verdana"/>
                <w:sz w:val="20"/>
                <w:szCs w:val="20"/>
              </w:rPr>
            </w:pPr>
            <w:r w:rsidRPr="00EE536E">
              <w:rPr>
                <w:rFonts w:ascii="Verdana" w:hAnsi="Verdana"/>
                <w:sz w:val="20"/>
                <w:szCs w:val="20"/>
              </w:rPr>
              <w:t>Men</w:t>
            </w:r>
          </w:p>
        </w:tc>
        <w:tc>
          <w:tcPr>
            <w:tcW w:w="1134" w:type="dxa"/>
            <w:tcBorders>
              <w:left w:val="single" w:sz="4" w:space="0" w:color="000000"/>
              <w:bottom w:val="single" w:sz="12" w:space="0" w:color="000000"/>
              <w:right w:val="single" w:sz="4" w:space="0" w:color="auto"/>
            </w:tcBorders>
          </w:tcPr>
          <w:p w14:paraId="6B831AF0" w14:textId="7BDE80B8" w:rsidR="00D16268" w:rsidRPr="00EE536E" w:rsidRDefault="00D16268" w:rsidP="00972903">
            <w:pPr>
              <w:rPr>
                <w:rFonts w:ascii="Verdana" w:hAnsi="Verdana"/>
                <w:sz w:val="20"/>
                <w:szCs w:val="20"/>
              </w:rPr>
            </w:pPr>
            <w:r w:rsidRPr="00EE536E">
              <w:rPr>
                <w:rFonts w:ascii="Verdana" w:hAnsi="Verdana"/>
                <w:sz w:val="20"/>
                <w:szCs w:val="20"/>
              </w:rPr>
              <w:t xml:space="preserve">  </w:t>
            </w:r>
            <w:r w:rsidR="00541E8E">
              <w:rPr>
                <w:rFonts w:ascii="Verdana" w:hAnsi="Verdana"/>
                <w:sz w:val="20"/>
                <w:szCs w:val="20"/>
              </w:rPr>
              <w:t>20.2</w:t>
            </w:r>
            <w:r w:rsidRPr="00EE536E">
              <w:rPr>
                <w:rFonts w:ascii="Verdana" w:hAnsi="Verdana"/>
                <w:sz w:val="20"/>
                <w:szCs w:val="20"/>
              </w:rPr>
              <w:t>%</w:t>
            </w:r>
          </w:p>
        </w:tc>
        <w:tc>
          <w:tcPr>
            <w:tcW w:w="1843" w:type="dxa"/>
            <w:tcBorders>
              <w:left w:val="single" w:sz="4" w:space="0" w:color="auto"/>
              <w:bottom w:val="single" w:sz="12" w:space="0" w:color="000000"/>
            </w:tcBorders>
          </w:tcPr>
          <w:p w14:paraId="1FAD51DD" w14:textId="77777777" w:rsidR="00D16268" w:rsidRPr="00EE536E" w:rsidRDefault="00D16268" w:rsidP="00972903">
            <w:pPr>
              <w:rPr>
                <w:rFonts w:ascii="Verdana" w:hAnsi="Verdana"/>
                <w:sz w:val="20"/>
                <w:szCs w:val="20"/>
              </w:rPr>
            </w:pPr>
            <w:r w:rsidRPr="00EE536E">
              <w:rPr>
                <w:rFonts w:ascii="Verdana" w:hAnsi="Verdana"/>
                <w:sz w:val="20"/>
                <w:szCs w:val="20"/>
              </w:rPr>
              <w:t>Women</w:t>
            </w:r>
          </w:p>
        </w:tc>
        <w:tc>
          <w:tcPr>
            <w:tcW w:w="1134" w:type="dxa"/>
            <w:tcBorders>
              <w:bottom w:val="single" w:sz="12" w:space="0" w:color="000000"/>
              <w:right w:val="single" w:sz="12" w:space="0" w:color="000000"/>
            </w:tcBorders>
          </w:tcPr>
          <w:p w14:paraId="572A5BAF" w14:textId="05440AE2" w:rsidR="00D16268" w:rsidRPr="00EE536E" w:rsidRDefault="00D16268" w:rsidP="00972903">
            <w:pPr>
              <w:rPr>
                <w:rFonts w:ascii="Verdana" w:hAnsi="Verdana"/>
                <w:sz w:val="20"/>
                <w:szCs w:val="20"/>
              </w:rPr>
            </w:pPr>
            <w:r w:rsidRPr="00EE536E">
              <w:rPr>
                <w:rFonts w:ascii="Verdana" w:hAnsi="Verdana"/>
                <w:sz w:val="20"/>
                <w:szCs w:val="20"/>
              </w:rPr>
              <w:t xml:space="preserve">  </w:t>
            </w:r>
            <w:r w:rsidR="00541E8E">
              <w:rPr>
                <w:rFonts w:ascii="Verdana" w:hAnsi="Verdana"/>
                <w:sz w:val="20"/>
                <w:szCs w:val="20"/>
              </w:rPr>
              <w:t>79.8</w:t>
            </w:r>
            <w:r w:rsidRPr="00EE536E">
              <w:rPr>
                <w:rFonts w:ascii="Verdana" w:hAnsi="Verdana"/>
                <w:sz w:val="20"/>
                <w:szCs w:val="20"/>
              </w:rPr>
              <w:t>%</w:t>
            </w:r>
          </w:p>
        </w:tc>
      </w:tr>
    </w:tbl>
    <w:p w14:paraId="6669C7F8" w14:textId="77777777" w:rsidR="00541E8E" w:rsidRDefault="00541E8E" w:rsidP="00541E8E">
      <w:pPr>
        <w:pStyle w:val="NormalWeb"/>
        <w:jc w:val="both"/>
        <w:rPr>
          <w:rFonts w:ascii="Verdana" w:hAnsi="Verdana" w:cs="Tahoma"/>
          <w:sz w:val="20"/>
          <w:szCs w:val="20"/>
          <w:lang w:eastAsia="en-US"/>
        </w:rPr>
      </w:pPr>
    </w:p>
    <w:p w14:paraId="39E27122" w14:textId="612F15F2" w:rsidR="00541E8E" w:rsidRPr="00541E8E" w:rsidRDefault="00541E8E" w:rsidP="00541E8E">
      <w:pPr>
        <w:pStyle w:val="NormalWeb"/>
        <w:jc w:val="both"/>
        <w:rPr>
          <w:rFonts w:ascii="Verdana" w:hAnsi="Verdana" w:cs="Tahoma"/>
          <w:sz w:val="20"/>
          <w:szCs w:val="20"/>
          <w:lang w:eastAsia="en-US"/>
        </w:rPr>
      </w:pPr>
      <w:r w:rsidRPr="00541E8E">
        <w:rPr>
          <w:rFonts w:ascii="Verdana" w:hAnsi="Verdana" w:cs="Tahoma"/>
          <w:sz w:val="20"/>
          <w:szCs w:val="20"/>
          <w:lang w:eastAsia="en-US"/>
        </w:rPr>
        <w:t xml:space="preserve">Farnborough College of Technology continues to support the fair treatment, reward and recognition of all staff irrespective of gender. The College ensures that equality and diversity remains a key tenet in our transformational plans and is confident that women and men are paid equally for doing equivalent jobs. </w:t>
      </w:r>
    </w:p>
    <w:p w14:paraId="3F1B0A5B" w14:textId="77777777" w:rsidR="00541E8E" w:rsidRPr="00541E8E" w:rsidRDefault="00541E8E" w:rsidP="00541E8E">
      <w:pPr>
        <w:pStyle w:val="NormalWeb"/>
        <w:jc w:val="both"/>
        <w:rPr>
          <w:rFonts w:ascii="Verdana" w:hAnsi="Verdana" w:cs="Tahoma"/>
          <w:sz w:val="20"/>
          <w:szCs w:val="20"/>
          <w:lang w:eastAsia="en-US"/>
        </w:rPr>
      </w:pPr>
      <w:r w:rsidRPr="00541E8E">
        <w:rPr>
          <w:rFonts w:ascii="Verdana" w:hAnsi="Verdana" w:cs="Tahoma"/>
          <w:sz w:val="20"/>
          <w:szCs w:val="20"/>
          <w:lang w:eastAsia="en-US"/>
        </w:rPr>
        <w:t>The College operates a performance related pay system linked to the achievements of the college as a whole. Where the college is performing well, all staff are rewarded with a percentage increase to their salary.</w:t>
      </w:r>
    </w:p>
    <w:p w14:paraId="0B691935" w14:textId="77777777" w:rsidR="00541E8E" w:rsidRPr="00541E8E" w:rsidRDefault="00541E8E" w:rsidP="00541E8E">
      <w:pPr>
        <w:pStyle w:val="NormalWeb"/>
        <w:jc w:val="both"/>
        <w:rPr>
          <w:rFonts w:ascii="Verdana" w:hAnsi="Verdana" w:cs="Tahoma"/>
          <w:sz w:val="20"/>
          <w:szCs w:val="20"/>
          <w:lang w:eastAsia="en-US"/>
        </w:rPr>
      </w:pPr>
      <w:r w:rsidRPr="00541E8E">
        <w:rPr>
          <w:rFonts w:ascii="Verdana" w:hAnsi="Verdana" w:cs="Tahoma"/>
          <w:sz w:val="20"/>
          <w:szCs w:val="20"/>
          <w:lang w:eastAsia="en-US"/>
        </w:rPr>
        <w:t xml:space="preserve">The College employs significantly more female than male staff. This is due in part to the number of part-time and term time-only support role that we have that attract more female than male staff. These are mostly in the lower and lower-middle quartiles. </w:t>
      </w:r>
    </w:p>
    <w:p w14:paraId="59F8B90E" w14:textId="77777777" w:rsidR="00541E8E" w:rsidRPr="00541E8E" w:rsidRDefault="00541E8E" w:rsidP="00541E8E">
      <w:pPr>
        <w:pStyle w:val="NormalWeb"/>
        <w:jc w:val="both"/>
        <w:rPr>
          <w:rFonts w:ascii="Verdana" w:hAnsi="Verdana" w:cs="Tahoma"/>
          <w:sz w:val="20"/>
          <w:szCs w:val="20"/>
          <w:lang w:eastAsia="en-US"/>
        </w:rPr>
      </w:pPr>
      <w:r w:rsidRPr="00541E8E">
        <w:rPr>
          <w:rFonts w:ascii="Verdana" w:hAnsi="Verdana" w:cs="Tahoma"/>
          <w:sz w:val="20"/>
          <w:szCs w:val="20"/>
          <w:lang w:eastAsia="en-US"/>
        </w:rPr>
        <w:t xml:space="preserve">Regular analyses and reporting will continue to be undertaken to ensure we understand Gender Pay Gaps and ensure staff are treated fairly and given equal opportunities in their respective job roles. </w:t>
      </w:r>
    </w:p>
    <w:p w14:paraId="35E02DC5" w14:textId="77777777" w:rsidR="00541E8E" w:rsidRPr="00541E8E" w:rsidRDefault="00541E8E" w:rsidP="00541E8E">
      <w:pPr>
        <w:pStyle w:val="NormalWeb"/>
        <w:jc w:val="both"/>
        <w:rPr>
          <w:rFonts w:ascii="Verdana" w:hAnsi="Verdana" w:cs="Tahoma"/>
          <w:sz w:val="20"/>
          <w:szCs w:val="20"/>
          <w:lang w:eastAsia="en-US"/>
        </w:rPr>
      </w:pPr>
      <w:r w:rsidRPr="00541E8E">
        <w:rPr>
          <w:rFonts w:ascii="Verdana" w:hAnsi="Verdana" w:cs="Tahoma"/>
          <w:sz w:val="20"/>
          <w:szCs w:val="20"/>
          <w:lang w:eastAsia="en-US"/>
        </w:rPr>
        <w:t xml:space="preserve">In the past twelve months we introduced the Real Living Wage and this has already had an impact on our Gender Pay Gap; however, the College will also continue ensuring staff </w:t>
      </w:r>
      <w:r w:rsidRPr="00541E8E">
        <w:rPr>
          <w:rFonts w:ascii="Verdana" w:hAnsi="Verdana" w:cs="Tahoma"/>
          <w:sz w:val="20"/>
          <w:szCs w:val="20"/>
          <w:lang w:eastAsia="en-US"/>
        </w:rPr>
        <w:lastRenderedPageBreak/>
        <w:t>in lower paid jobs have opportunities for progression as well as ensuring females have equal access to promotion at all levels.</w:t>
      </w:r>
    </w:p>
    <w:p w14:paraId="39F5FBC5" w14:textId="20355AA0" w:rsidR="00D16268" w:rsidRPr="007E49FB" w:rsidRDefault="00D16268" w:rsidP="00D16268">
      <w:pPr>
        <w:pStyle w:val="NormalWeb"/>
        <w:jc w:val="both"/>
        <w:rPr>
          <w:rFonts w:ascii="Verdana" w:hAnsi="Verdana" w:cs="Tahoma"/>
          <w:sz w:val="20"/>
          <w:szCs w:val="20"/>
          <w:lang w:eastAsia="en-US"/>
        </w:rPr>
      </w:pPr>
    </w:p>
    <w:p w14:paraId="2CC8802C" w14:textId="77777777" w:rsidR="00D16268" w:rsidRPr="00166C86" w:rsidRDefault="00D16268" w:rsidP="00D16268">
      <w:pPr>
        <w:pStyle w:val="NormalWeb"/>
        <w:jc w:val="both"/>
        <w:rPr>
          <w:rFonts w:ascii="Verdana" w:hAnsi="Verdana"/>
          <w:sz w:val="24"/>
          <w:szCs w:val="24"/>
        </w:rPr>
      </w:pPr>
      <w:r>
        <w:rPr>
          <w:noProof/>
        </w:rPr>
        <w:drawing>
          <wp:inline distT="0" distB="0" distL="0" distR="0" wp14:anchorId="126C42CE" wp14:editId="5E4BA6D6">
            <wp:extent cx="1209370" cy="120937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3904" cy="1213904"/>
                    </a:xfrm>
                    <a:prstGeom prst="rect">
                      <a:avLst/>
                    </a:prstGeom>
                    <a:noFill/>
                    <a:ln>
                      <a:noFill/>
                    </a:ln>
                  </pic:spPr>
                </pic:pic>
              </a:graphicData>
            </a:graphic>
          </wp:inline>
        </w:drawing>
      </w:r>
    </w:p>
    <w:p w14:paraId="22E9D607" w14:textId="77777777" w:rsidR="00D16268" w:rsidRPr="007E49FB" w:rsidRDefault="00D16268" w:rsidP="00D16268">
      <w:pPr>
        <w:spacing w:after="0"/>
        <w:jc w:val="both"/>
        <w:rPr>
          <w:rFonts w:ascii="Verdana" w:hAnsi="Verdana"/>
          <w:b/>
          <w:sz w:val="20"/>
          <w:szCs w:val="20"/>
        </w:rPr>
      </w:pPr>
      <w:r w:rsidRPr="007E49FB">
        <w:rPr>
          <w:rFonts w:ascii="Verdana" w:hAnsi="Verdana"/>
          <w:b/>
          <w:sz w:val="20"/>
          <w:szCs w:val="20"/>
        </w:rPr>
        <w:t>Virginia Barrett</w:t>
      </w:r>
    </w:p>
    <w:p w14:paraId="7FC48D4D" w14:textId="2810CF97" w:rsidR="00D16268" w:rsidRPr="007E49FB" w:rsidRDefault="00D16268" w:rsidP="00D16268">
      <w:pPr>
        <w:spacing w:after="0"/>
        <w:jc w:val="both"/>
        <w:rPr>
          <w:rFonts w:ascii="Verdana" w:hAnsi="Verdana"/>
          <w:b/>
          <w:sz w:val="20"/>
          <w:szCs w:val="20"/>
        </w:rPr>
      </w:pPr>
      <w:r w:rsidRPr="007E49FB">
        <w:rPr>
          <w:rFonts w:ascii="Verdana" w:hAnsi="Verdana"/>
          <w:b/>
          <w:sz w:val="20"/>
          <w:szCs w:val="20"/>
        </w:rPr>
        <w:t>Principal</w:t>
      </w:r>
      <w:r w:rsidR="007E49FB">
        <w:rPr>
          <w:rFonts w:ascii="Verdana" w:hAnsi="Verdana"/>
          <w:b/>
          <w:sz w:val="20"/>
          <w:szCs w:val="20"/>
        </w:rPr>
        <w:t xml:space="preserve"> CEO</w:t>
      </w:r>
    </w:p>
    <w:p w14:paraId="326DBD1B" w14:textId="77777777" w:rsidR="00D16268" w:rsidRPr="007E49FB" w:rsidRDefault="00D16268" w:rsidP="00D16268">
      <w:pPr>
        <w:spacing w:after="0"/>
        <w:jc w:val="both"/>
        <w:rPr>
          <w:rFonts w:ascii="Verdana" w:hAnsi="Verdana"/>
          <w:b/>
          <w:sz w:val="20"/>
          <w:szCs w:val="20"/>
        </w:rPr>
      </w:pPr>
      <w:r w:rsidRPr="007E49FB">
        <w:rPr>
          <w:rFonts w:ascii="Verdana" w:hAnsi="Verdana"/>
          <w:b/>
          <w:sz w:val="20"/>
          <w:szCs w:val="20"/>
        </w:rPr>
        <w:t>Farnborough College of Technology</w:t>
      </w:r>
    </w:p>
    <w:p w14:paraId="36FC91A5" w14:textId="6383AFF5" w:rsidR="00D16268" w:rsidRPr="007E49FB" w:rsidRDefault="00D16268" w:rsidP="00D16268">
      <w:pPr>
        <w:spacing w:after="0"/>
        <w:jc w:val="both"/>
        <w:rPr>
          <w:rFonts w:ascii="Verdana" w:hAnsi="Verdana"/>
          <w:b/>
          <w:sz w:val="20"/>
          <w:szCs w:val="20"/>
        </w:rPr>
      </w:pPr>
      <w:r w:rsidRPr="007E49FB">
        <w:rPr>
          <w:rFonts w:ascii="Verdana" w:hAnsi="Verdana"/>
          <w:b/>
          <w:sz w:val="20"/>
          <w:szCs w:val="20"/>
        </w:rPr>
        <w:t>March 202</w:t>
      </w:r>
      <w:r w:rsidR="00541E8E">
        <w:rPr>
          <w:rFonts w:ascii="Verdana" w:hAnsi="Verdana"/>
          <w:b/>
          <w:sz w:val="20"/>
          <w:szCs w:val="20"/>
        </w:rPr>
        <w:t>3</w:t>
      </w:r>
    </w:p>
    <w:p w14:paraId="2B94E6D5" w14:textId="77777777" w:rsidR="00D16268" w:rsidRDefault="00D16268"/>
    <w:sectPr w:rsidR="00D16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68"/>
    <w:rsid w:val="00452385"/>
    <w:rsid w:val="00541E8E"/>
    <w:rsid w:val="005B576A"/>
    <w:rsid w:val="007E49FB"/>
    <w:rsid w:val="00B90070"/>
    <w:rsid w:val="00D16268"/>
    <w:rsid w:val="00FA3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654A"/>
  <w15:chartTrackingRefBased/>
  <w15:docId w15:val="{8709BBBE-230F-4C0B-884E-DD1B0744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626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Wilkie</dc:creator>
  <cp:keywords/>
  <dc:description/>
  <cp:lastModifiedBy>Matthew Wilkie</cp:lastModifiedBy>
  <cp:revision>3</cp:revision>
  <dcterms:created xsi:type="dcterms:W3CDTF">2023-03-13T09:52:00Z</dcterms:created>
  <dcterms:modified xsi:type="dcterms:W3CDTF">2023-03-13T09:58:00Z</dcterms:modified>
</cp:coreProperties>
</file>